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center"/>
        <w:spacing w:lineRule="auto" w:line="240" w:after="0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 xml:space="preserve">Приложение</w:t>
      </w:r>
      <w:r>
        <w:rPr>
          <w:sz w:val="24"/>
        </w:rPr>
      </w:r>
    </w:p>
    <w:p>
      <w:pPr>
        <w:pStyle w:val="678"/>
        <w:jc w:val="center"/>
        <w:spacing w:lineRule="auto" w:lin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W w:w="17037" w:type="dxa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560"/>
        <w:gridCol w:w="1275"/>
        <w:gridCol w:w="1418"/>
        <w:gridCol w:w="1276"/>
        <w:gridCol w:w="1417"/>
        <w:gridCol w:w="1418"/>
        <w:gridCol w:w="1417"/>
        <w:gridCol w:w="1276"/>
        <w:gridCol w:w="1888"/>
      </w:tblGrid>
      <w:tr>
        <w:trPr>
          <w:cantSplit/>
        </w:trPr>
        <w:tc>
          <w:tcPr>
            <w:gridSpan w:val="10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4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tabs>
                <w:tab w:val="left" w:pos="15635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Оказание бесплатной юридической помощи и осуществление правового информирования и правового просвещения департаментом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678"/>
              <w:jc w:val="center"/>
              <w:spacing w:lineRule="auto" w:line="240" w:after="0"/>
              <w:tabs>
                <w:tab w:val="left" w:pos="15635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осударственного  регулирования цен и тарифов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за 202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</w:tcBorders>
            <w:tcW w:w="1888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678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678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678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678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cantSplit/>
          <w:trHeight w:val="25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Количество  обращений граждан по вопросам оказания бесплатной юридической помощи</w:t>
            </w:r>
            <w:r>
              <w:rPr>
                <w:sz w:val="22"/>
              </w:rPr>
            </w:r>
          </w:p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Количество обращений граждан, по которым оказана бесплатная юридическая помощь</w:t>
            </w:r>
            <w:r>
              <w:rPr>
                <w:sz w:val="22"/>
              </w:rPr>
            </w:r>
          </w:p>
          <w:p>
            <w:pPr>
              <w:pStyle w:val="678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Из них по видам бе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платной юридической помощи</w:t>
            </w:r>
            <w:r>
              <w:rPr>
                <w:sz w:val="22"/>
              </w:rPr>
            </w:r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Количество размещенных материалов по правовому </w:t>
            </w:r>
            <w:r>
              <w:rPr>
                <w:sz w:val="22"/>
              </w:rPr>
            </w:r>
          </w:p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информированию и правовому просвещению согласно ст.28 Федерального закона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88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</w:pPr>
          </w:p>
        </w:tc>
      </w:tr>
      <w:tr>
        <w:trPr>
          <w:cantSplit/>
          <w:trHeight w:val="249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/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/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Правовое консультирование в устной форме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Правовое консультирование в письменной форме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Составление документов правового характера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Представление интересов в судах и других органах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 средствах массовой информации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 сети «Интернет»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Изданных брошюр, памяток и.т.д.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Иным </w:t>
              <w:br/>
              <w:t xml:space="preserve">способом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88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spacing w:lineRule="auto" w:line="240" w:after="0"/>
            </w:pPr>
          </w:p>
        </w:tc>
      </w:tr>
      <w:tr>
        <w:trPr>
          <w:cantSplit/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*0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**12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0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0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***9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****32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0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*****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0</w:t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000000" w:sz="4" w:space="0"/>
            </w:tcBorders>
            <w:tcW w:w="1888" w:type="dxa"/>
            <w:vAlign w:val="top"/>
            <w:vMerge w:val="continue"/>
            <w:textDirection w:val="lrTb"/>
            <w:noWrap w:val="false"/>
          </w:tcPr>
          <w:tbl>
            <w:tblPr>
              <w:tblStyle w:val="535"/>
              <w:tblW w:w="0" w:type="auto"/>
              <w:tblLook w:val="04A0" w:firstRow="1" w:lastRow="0" w:firstColumn="1" w:lastColumn="0" w:noHBand="0" w:noVBand="1"/>
            </w:tblPr>
            <w:tblGrid>
              <w:gridCol w:w="215"/>
              <w:gridCol w:w="215"/>
              <w:gridCol w:w="215"/>
              <w:gridCol w:w="215"/>
              <w:gridCol w:w="215"/>
            </w:tblGrid>
            <w:tr>
              <w:trPr/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</w:tr>
            <w:tr>
              <w:trPr/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</w:tr>
            <w:tr>
              <w:trPr/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</w:tr>
            <w:tr>
              <w:trPr/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  <w:tc>
                <w:tcPr>
                  <w:tcW w:w="215" w:type="dxa"/>
                  <w:textDirection w:val="lrTb"/>
                  <w:noWrap w:val="false"/>
                </w:tcPr>
                <w:p>
                  <w:pPr>
                    <w:pStyle w:val="678"/>
                    <w:jc w:val="center"/>
                    <w:spacing w:lineRule="auto" w:line="240" w:after="0"/>
                    <w:widowControl w:val="off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</w:tr>
          </w:tbl>
          <w:p>
            <w:pPr>
              <w:pStyle w:val="678"/>
              <w:jc w:val="center"/>
              <w:spacing w:lineRule="auto" w:line="240" w:after="0"/>
              <w:widowControl w:val="off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</w:tbl>
    <w:p>
      <w:pPr>
        <w:pStyle w:val="678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2"/>
        </w:rPr>
      </w:pPr>
      <w:r>
        <w:rPr>
          <w:rFonts w:ascii="Times New Roman" w:hAnsi="Times New Roman" w:cs="Times New Roman" w:eastAsia="Times New Roman"/>
          <w:b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678"/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Статьей 20 Федерального закона от 21.11.2011 № 324-ФЗ </w:t>
      </w:r>
      <w:r>
        <w:rPr>
          <w:rFonts w:ascii="Times New Roman" w:hAnsi="Times New Roman" w:cs="Times New Roman" w:eastAsia="Times New Roman"/>
          <w:bCs/>
          <w:sz w:val="24"/>
        </w:rPr>
        <w:t xml:space="preserve">«</w:t>
      </w:r>
      <w:r>
        <w:rPr>
          <w:rFonts w:ascii="Times New Roman" w:hAnsi="Times New Roman" w:cs="Times New Roman" w:eastAsia="Times New Roman"/>
          <w:bCs/>
          <w:sz w:val="24"/>
        </w:rPr>
        <w:t xml:space="preserve">О бесплатной юридической помощи в Российской Федерации</w:t>
      </w:r>
      <w:r>
        <w:rPr>
          <w:rFonts w:ascii="Times New Roman" w:hAnsi="Times New Roman" w:cs="Times New Roman" w:eastAsia="Times New Roman"/>
          <w:bCs/>
          <w:sz w:val="24"/>
        </w:rPr>
        <w:t xml:space="preserve">»</w:t>
      </w:r>
      <w:r>
        <w:rPr>
          <w:rFonts w:ascii="Times New Roman" w:hAnsi="Times New Roman" w:cs="Times New Roman" w:eastAsia="Times New Roman"/>
          <w:bCs/>
          <w:sz w:val="24"/>
        </w:rPr>
        <w:t xml:space="preserve"> определен исчерпывающий перечень категорий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 (далее - Перечень).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4"/>
        </w:rPr>
      </w:pPr>
      <w:r>
        <w:rPr>
          <w:rFonts w:ascii="Times New Roman" w:hAnsi="Times New Roman" w:cs="Times New Roman" w:eastAsia="Times New Roman"/>
          <w:bCs/>
          <w:sz w:val="24"/>
        </w:rPr>
        <w:t xml:space="preserve">*</w:t>
      </w:r>
      <w:r>
        <w:rPr>
          <w:rFonts w:ascii="Times New Roman" w:hAnsi="Times New Roman" w:cs="Times New Roman" w:eastAsia="Times New Roman"/>
          <w:bCs/>
          <w:sz w:val="24"/>
        </w:rPr>
        <w:t xml:space="preserve">В </w:t>
      </w:r>
      <w:r>
        <w:rPr>
          <w:rFonts w:ascii="Times New Roman" w:hAnsi="Times New Roman" w:cs="Times New Roman" w:eastAsia="Times New Roman"/>
          <w:bCs/>
          <w:sz w:val="24"/>
        </w:rPr>
        <w:t xml:space="preserve">20</w:t>
      </w:r>
      <w:r>
        <w:rPr>
          <w:rFonts w:ascii="Times New Roman" w:hAnsi="Times New Roman" w:cs="Times New Roman" w:eastAsia="Times New Roman"/>
          <w:bCs/>
          <w:sz w:val="24"/>
        </w:rPr>
        <w:t xml:space="preserve">21</w:t>
      </w:r>
      <w:r>
        <w:rPr>
          <w:rFonts w:ascii="Times New Roman" w:hAnsi="Times New Roman" w:cs="Times New Roman" w:eastAsia="Times New Roman"/>
          <w:bCs/>
          <w:sz w:val="24"/>
        </w:rPr>
        <w:t xml:space="preserve"> году </w:t>
      </w:r>
      <w:r>
        <w:rPr>
          <w:rFonts w:ascii="Times New Roman" w:hAnsi="Times New Roman" w:cs="Times New Roman" w:eastAsia="Times New Roman"/>
          <w:bCs/>
          <w:sz w:val="24"/>
        </w:rPr>
        <w:t xml:space="preserve">в устной форме обращ</w:t>
      </w:r>
      <w:r>
        <w:rPr>
          <w:rFonts w:ascii="Times New Roman" w:hAnsi="Times New Roman" w:cs="Times New Roman" w:eastAsia="Times New Roman"/>
          <w:bCs/>
          <w:sz w:val="24"/>
        </w:rPr>
        <w:t xml:space="preserve">ени</w:t>
      </w:r>
      <w:r>
        <w:rPr>
          <w:rFonts w:ascii="Times New Roman" w:hAnsi="Times New Roman" w:cs="Times New Roman" w:eastAsia="Times New Roman"/>
          <w:bCs/>
          <w:sz w:val="24"/>
        </w:rPr>
        <w:t xml:space="preserve">й</w:t>
      </w:r>
      <w:r>
        <w:rPr>
          <w:rFonts w:ascii="Times New Roman" w:hAnsi="Times New Roman" w:cs="Times New Roman" w:eastAsia="Times New Roman"/>
          <w:bCs/>
          <w:sz w:val="24"/>
        </w:rPr>
        <w:t xml:space="preserve"> в департамент граждан, имеющих право на получение бесплатной юридической помощи в рамках государственной системы бесплатной юридической помощи согласно Перечню, </w:t>
      </w:r>
      <w:r>
        <w:rPr>
          <w:rFonts w:ascii="Times New Roman" w:hAnsi="Times New Roman" w:cs="Times New Roman" w:eastAsia="Times New Roman"/>
          <w:bCs/>
          <w:sz w:val="24"/>
        </w:rPr>
        <w:t xml:space="preserve">не поступало.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**В 20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21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департамент поступило 12 письменных обращени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й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граждан, имеющих право на получение бесплатной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юридической помощи в рамках государственной системы бесплатной юридической помощи согласно Перечню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На все обращения граждан даны ответы по существу в установленный законом срок.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left="34"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***</w:t>
      </w:r>
      <w:r>
        <w:rPr>
          <w:rFonts w:ascii="Times New Roman" w:hAnsi="Times New Roman" w:cs="Times New Roman" w:eastAsia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В средствах массовой информации: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left="34"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color w:val="FF0000"/>
          <w:sz w:val="24"/>
          <w:szCs w:val="24"/>
        </w:rPr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5 февраля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1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на телеканале ГТРК «Кострома»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программе «Живи как хозяин»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интервью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дирек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тора департамента Солдатовой И.Ю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на тему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: «Снижение тарифов на услуги регионального оператора по обращению с твердыми коммунальными отходами по зоне деятельности</w:t>
      </w:r>
      <w:r>
        <w:rPr>
          <w:rFonts w:ascii="Times New Roman" w:hAnsi="Times New Roman" w:cs="Times New Roman" w:eastAsia="Times New Roman"/>
          <w:color w:val="auto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№ 1 с 01.01.2021»;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left="34" w:firstLine="709"/>
        <w:jc w:val="both"/>
        <w:spacing w:lineRule="auto" w:line="240" w:after="0"/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5 февраля 2021 года – сетевое издание «Информационный портал СМИ 44»  размещен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а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 заметка на тему: «В Костроме предельная стоимость проезда в городском общественном  транспорте не превысит 23 рублей»;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- 5 февраля 2021 года - областная телерадиокомпания «Русь» информация на тему: «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В Костроме предельная стоимость проезда в городском общественном  транспорте не превысит 23 рублей»;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left="34" w:firstLine="709"/>
        <w:jc w:val="both"/>
        <w:spacing w:lineRule="auto" w:line="240" w:after="0"/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5 февраля 2021 года – интернет – журнал «7Х7» Новости интервью дирек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тора департамента Солдатовой И.Ю. на тему: </w:t>
        <w:br/>
        <w:t xml:space="preserve">«Об утверждении предельного максимального тарифа на перевозки по муниципальным маршрутам рег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улярных перевозок пассажиров </w:t>
        <w:br/>
        <w:t xml:space="preserve">и багажа автомобильным транспортом на территории городского округа город Кострома на 2021 год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»;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- 2 марта 2021 года 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телеканал ГТРК «Кострома»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интервью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начальника отдела регулирования услуг транспорта, социально значимых услуг и иных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регулируемых видов деятельности департамента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u w:val="none"/>
        </w:rPr>
        <w:t xml:space="preserve"> Макшановой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u w:val="none"/>
        </w:rPr>
        <w:t xml:space="preserve">Т.В.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на тему: «Стоимость газомоторного топлива»;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jc w:val="both"/>
        <w:spacing w:lineRule="auto" w:line="240" w:after="0"/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- 22 марта 2021 года -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телеканал ГТРК «Кострома»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интервью директора департамента Солдатовой И.Ю. на тему: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 «О плате граждан в отопительный период 2020-2021 годы»;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- 8 апреля 2021 года -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телеканал ГТРК «Кострома»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интервью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директора департамента Солдатовой И.Ю. на тему: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 «По ценам </w:t>
        <w:br/>
        <w:t xml:space="preserve">на топливо (бензин)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»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jc w:val="both"/>
        <w:spacing w:lineRule="auto" w:line="240" w:after="0"/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- 19 апреля 2021 года -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телеканал ГТРК «Кострома»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интервью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директора департамента Солдатовой И.Ю. на тему: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 «Исполнение инвестиционных программ в регулируемых организациях за 2020 год».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- 5 октября 2021 года - </w:t>
      </w:r>
      <w:r>
        <w:rPr>
          <w:rFonts w:ascii="Times New Roman" w:hAnsi="Times New Roman" w:cs="Times New Roman" w:eastAsia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директор департамента Солдатова И.Ю.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приняла у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частие в прямом эфире, организованном ОТРК «Русь», по вопросам тарифообразования на коммунальные услуги и пассажирские перевозки;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left="34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****На официальном сайте департамента в информационно-телек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ммуникационной сети «Интернет» в течени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20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1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года разме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ще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 следующая информация: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9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22 января 2021 года – «Результаты мониторинга розничных цен на моторное топливо»</w:t>
      </w: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- 15 февраля 2021 года – «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instrText xml:space="preserve"> HYPERLINK "http://tariff44.ru/news/3bdc26f7-dbb2-451d-9b5f-8af7a643059c.aspx" </w:instrTex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Результаты мониторинга фактического изменения размера совокупной платы граждан за коммунальные услуги по муниципальным образованиям Костромской области в 2020 году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- 22 марта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–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доклад директора департамента Солдатовой И.Ю.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 еженедельном совещании при губернаторе Костромской по вопросу «О плате граждан за услуги центрального отопления в отопительный период 2020-2021 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- 2 апреля 2021 года - «Информация о результатах плановых проверок департамента»;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- 12 апреля 2021 год</w:t>
      </w:r>
      <w:r>
        <w:rPr>
          <w:rFonts w:ascii="Times New Roman" w:hAnsi="Times New Roman" w:cs="Times New Roman" w:eastAsia="Times New Roman"/>
          <w:b w:val="false"/>
          <w:sz w:val="24"/>
          <w:szCs w:val="24"/>
          <w:u w:val="none"/>
        </w:rPr>
        <w:t xml:space="preserve">а - «</w:t>
      </w:r>
      <w:r>
        <w:rPr>
          <w:rFonts w:ascii="Times New Roman" w:hAnsi="Times New Roman" w:cs="Times New Roman" w:eastAsia="Times New Roman"/>
          <w:b w:val="false"/>
          <w:color w:val="auto"/>
          <w:sz w:val="24"/>
          <w:u w:val="none"/>
        </w:rPr>
      </w:r>
      <w:hyperlink r:id="rId9" w:tooltip="http://tektarif.ru/news/251c6bd7-f752-4108-bf16-ae97187ea706.aspx" w:history="1">
        <w:r>
          <w:rPr>
            <w:rStyle w:val="710"/>
            <w:rFonts w:ascii="Times New Roman" w:hAnsi="Times New Roman" w:cs="Times New Roman" w:eastAsia="Times New Roman"/>
            <w:b w:val="false"/>
            <w:color w:val="auto"/>
            <w:sz w:val="24"/>
            <w:u w:val="none"/>
          </w:rPr>
          <w:t xml:space="preserve">Информация о проверках в I квартале 2021 года в отношении организаций, осуществляющих регулируемые виды деятельности»;</w:t>
        </w:r>
      </w:hyperlink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- 19 апреля 2021 года - «Об установлении предельно максимального уровня розничной цены на сжиженный газ, реализуемый в баллонах населению Костромской области»;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- 5 мая 2021 года -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Информация о результатах проверок, проведенных департаментом в апреле 2021 года»;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мая 2021 года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«Результат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мониторинга фактического роста платы граждан за коммунальные услуги в муниципальных образованиях Костромской области за январь - апрель 2021 года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- 28 мая 2021 года – «Информация о результатах проверок, проведенных департаментом в мае 2021 года»;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- 31 мая 2021 года 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«Информация об изменениях федерального законодательства, направленных на стабилизацию цен на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автомобильный бензин и дизельно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 топливо»;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- 2 июня 2021 года - «</w:t>
      </w:r>
      <w:r>
        <w:rPr>
          <w:rFonts w:ascii="Times New Roman" w:hAnsi="Times New Roman" w:cs="Times New Roman" w:eastAsia="Times New Roman"/>
          <w:sz w:val="24"/>
        </w:rPr>
      </w:r>
      <w:hyperlink r:id="rId10" w:tooltip="http://tektarif.ru/news/34d2f598-9aa7-40ef-a697-5575fd25de6f.aspx" w:history="1">
        <w:r>
          <w:rPr>
            <w:rFonts w:ascii="Times New Roman" w:hAnsi="Times New Roman" w:cs="Times New Roman" w:eastAsia="Times New Roman"/>
            <w:sz w:val="24"/>
          </w:rPr>
          <w:t xml:space="preserve">Об установлении предельных розничных цен на твердое топливо, реализуемое населению Костромской области, для оказания адресных мер социальной поддержки»</w:t>
        </w:r>
      </w:hyperlink>
      <w:r>
        <w:rPr>
          <w:rFonts w:ascii="Times New Roman" w:hAnsi="Times New Roman" w:cs="Times New Roman" w:eastAsia="Times New Roman"/>
          <w:sz w:val="24"/>
        </w:rPr>
        <w:t xml:space="preserve">; 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23 июня 2021 года – «Информация о результатах проверок, проведенных департаментом в 1 полугодии 2021 года»;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- 30 июня 2021 года  -«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Коммунальные услуги подорожают в 2021 году один раз – с 1 июля 2021 года»;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- 30 июня 2021 года - «Обзор новелл Федерального закона от 31.07.2020 № 248-ФЗ «О государственном контроле (надзоре) </w:t>
        <w:br/>
        <w:t xml:space="preserve">и 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му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ниципальном контроле в Российской Федерации»;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- 29 сентября 2021 года - «Установлены тарифы для  МКУП «Мантуровская теплоснабжающая организация» на тепловую энергию и горячее водоснабжение для потребителей городского округа город Мантурово;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- 1 октября 2021 года - «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Об установлении тарифов на подключение к централизованным системам холодного водоснабжения и водоотведения на территории гор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одского округа город Буй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- 1 октября 2021 года - «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Общественное обсуждение проекта программы профилактики рисков причинения вреда (ущерба) охраняемым законом ценностям по региональному государственному контролю (надзору) в сферах естественных монополий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 в области государственного регулирования цен (тарифов) на 2022 год»;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- 7 октября 2021 года -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«Проведено совещание по вопросу установления тарифа на тепловую эн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ергию в п. Василево Кузнецовского сельского поселения Костромского муниципального района»;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4"/>
          <w:szCs w:val="24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- 8 октября 2021 года -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«Информация о результатах проверок, проведенных департаментом за 9 месяцев 2021 года»;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- 12 октября 2021 года 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«Информация о проведении Учебным центром 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ЭнергоРешение» Всероссийских мероприятий в рамках курса повышения квалификации по учебной программе «Тарифное регулирование, ценообразование и технологическое присоединение в электроэнергетике»;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- 14 октября 2021 года 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роцедура технологического присоединения для садоводов к электрическим сетям станет проще и доступнее»;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- 29 октября 2021 года 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Информация о территориальных сетевых организациях,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- 2 ноября 2021 года - 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Правительством Российской Федерации утверждены индексы изменения размера вносимой гражданами платы за коммунальные услуги в среднем по субъектам Российской Федерации на 2022 год»;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- 10 ноября 2021 года -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Проведено совещание по вопросу установления тарифов на водоснабжение и водоотведение для ООО «Тепловодоканал» на 2022 год»;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- 19 ноября 2021 года -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Рекомендации работодателям по предоставлению работникам, проходящим вакцинацию против новой коронавирусной инфекции, двух оплачиваемых дополнительных дней отдыха»;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- 25 ноября 2021 года - «Об итогах проведенных публичных обсуждений результатов правоприменительной практики»;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- 1 декабря 2021 года -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Постановлением губернатора Костромской области утверждены предельные (максимальные) индексы изменения размера вносимой гражданами платы за коммунальные услуги в муниципальных образованиях Костромской области </w:t>
        <w:br/>
        <w:t xml:space="preserve">на 2022 год»;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- 3 декабря 2021 года -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Утверждены показатели сводного прогнозного баланса по электрической энергии (мощности) по Костромской области»;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- 6 декабря 2021 года -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Правительством определены критерии для сетевых и транзитных организаций в сфере тепло-, водоснабжения и водоотведения»;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- 7 декабря 2021 года -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«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Принята программа профилактики рисков причинения вреда (ущерба) охраняемым законом ценностям на 2022 </w:t>
      </w: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год»;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sz w:val="24"/>
          <w:szCs w:val="24"/>
        </w:rPr>
        <w:outlineLvl w:val="0"/>
      </w:pP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- 20 декабря 2021 года - «Информация о предоставлении населению Костромской области денежной компенсации по оплате сжиженного газа в баллонах»;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709"/>
        <w:jc w:val="both"/>
        <w:spacing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b w:val="false"/>
          <w:sz w:val="24"/>
          <w:szCs w:val="24"/>
        </w:rPr>
        <w:outlineLvl w:val="0"/>
      </w:pP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- 24 декабря 2021 года</w:t>
      </w:r>
      <w:r>
        <w:rPr>
          <w:rFonts w:ascii="Times New Roman" w:hAnsi="Times New Roman" w:cs="Times New Roman" w:eastAsia="Times New Roman"/>
          <w:b w:val="false"/>
          <w:sz w:val="24"/>
          <w:szCs w:val="24"/>
        </w:rPr>
        <w:t xml:space="preserve"> - «Изменение правил подключения к коммунальным сетям в 2022 году».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*****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Иным способом: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78"/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4"/>
        </w:rPr>
      </w:r>
    </w:p>
    <w:sectPr>
      <w:footnotePr/>
      <w:endnotePr/>
      <w:type w:val="nextPage"/>
      <w:pgSz w:w="16838" w:h="11906" w:orient="landscape"/>
      <w:pgMar w:top="1134" w:right="851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01">
    <w:name w:val="Heading 1"/>
    <w:link w:val="50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02">
    <w:name w:val="Heading 1 Char"/>
    <w:link w:val="501"/>
    <w:uiPriority w:val="9"/>
    <w:rPr>
      <w:rFonts w:ascii="Arial" w:hAnsi="Arial" w:cs="Arial" w:eastAsia="Arial"/>
      <w:sz w:val="40"/>
      <w:szCs w:val="40"/>
    </w:rPr>
  </w:style>
  <w:style w:type="paragraph" w:styleId="503">
    <w:name w:val="Heading 2"/>
    <w:link w:val="50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04">
    <w:name w:val="Heading 2 Char"/>
    <w:link w:val="503"/>
    <w:uiPriority w:val="9"/>
    <w:rPr>
      <w:rFonts w:ascii="Arial" w:hAnsi="Arial" w:cs="Arial" w:eastAsia="Arial"/>
      <w:sz w:val="34"/>
    </w:rPr>
  </w:style>
  <w:style w:type="paragraph" w:styleId="505">
    <w:name w:val="Heading 3"/>
    <w:link w:val="50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06">
    <w:name w:val="Heading 3 Char"/>
    <w:link w:val="505"/>
    <w:uiPriority w:val="9"/>
    <w:rPr>
      <w:rFonts w:ascii="Arial" w:hAnsi="Arial" w:cs="Arial" w:eastAsia="Arial"/>
      <w:sz w:val="30"/>
      <w:szCs w:val="30"/>
    </w:rPr>
  </w:style>
  <w:style w:type="paragraph" w:styleId="507">
    <w:name w:val="Heading 4"/>
    <w:link w:val="50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08">
    <w:name w:val="Heading 4 Char"/>
    <w:link w:val="507"/>
    <w:uiPriority w:val="9"/>
    <w:rPr>
      <w:rFonts w:ascii="Arial" w:hAnsi="Arial" w:cs="Arial" w:eastAsia="Arial"/>
      <w:b/>
      <w:bCs/>
      <w:sz w:val="26"/>
      <w:szCs w:val="26"/>
    </w:rPr>
  </w:style>
  <w:style w:type="paragraph" w:styleId="509">
    <w:name w:val="Heading 5"/>
    <w:link w:val="5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0">
    <w:name w:val="Heading 5 Char"/>
    <w:link w:val="509"/>
    <w:uiPriority w:val="9"/>
    <w:rPr>
      <w:rFonts w:ascii="Arial" w:hAnsi="Arial" w:cs="Arial" w:eastAsia="Arial"/>
      <w:b/>
      <w:bCs/>
      <w:sz w:val="24"/>
      <w:szCs w:val="24"/>
    </w:rPr>
  </w:style>
  <w:style w:type="paragraph" w:styleId="511">
    <w:name w:val="Heading 6"/>
    <w:link w:val="51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2">
    <w:name w:val="Heading 6 Char"/>
    <w:link w:val="511"/>
    <w:uiPriority w:val="9"/>
    <w:rPr>
      <w:rFonts w:ascii="Arial" w:hAnsi="Arial" w:cs="Arial" w:eastAsia="Arial"/>
      <w:b/>
      <w:bCs/>
      <w:sz w:val="22"/>
      <w:szCs w:val="22"/>
    </w:rPr>
  </w:style>
  <w:style w:type="paragraph" w:styleId="513">
    <w:name w:val="Heading 7"/>
    <w:link w:val="51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14">
    <w:name w:val="Heading 7 Char"/>
    <w:link w:val="5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5">
    <w:name w:val="Heading 8"/>
    <w:link w:val="51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6">
    <w:name w:val="Heading 8 Char"/>
    <w:link w:val="515"/>
    <w:uiPriority w:val="9"/>
    <w:rPr>
      <w:rFonts w:ascii="Arial" w:hAnsi="Arial" w:cs="Arial" w:eastAsia="Arial"/>
      <w:i/>
      <w:iCs/>
      <w:sz w:val="22"/>
      <w:szCs w:val="22"/>
    </w:rPr>
  </w:style>
  <w:style w:type="paragraph" w:styleId="517">
    <w:name w:val="Heading 9"/>
    <w:link w:val="51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8">
    <w:name w:val="Heading 9 Char"/>
    <w:link w:val="517"/>
    <w:uiPriority w:val="9"/>
    <w:rPr>
      <w:rFonts w:ascii="Arial" w:hAnsi="Arial" w:cs="Arial" w:eastAsia="Arial"/>
      <w:i/>
      <w:iCs/>
      <w:sz w:val="21"/>
      <w:szCs w:val="21"/>
    </w:rPr>
  </w:style>
  <w:style w:type="paragraph" w:styleId="519">
    <w:name w:val="List Paragraph"/>
    <w:qFormat/>
    <w:uiPriority w:val="34"/>
    <w:pPr>
      <w:contextualSpacing w:val="true"/>
      <w:ind w:left="720"/>
    </w:pPr>
  </w:style>
  <w:style w:type="paragraph" w:styleId="520">
    <w:name w:val="No Spacing"/>
    <w:qFormat/>
    <w:uiPriority w:val="1"/>
    <w:pPr>
      <w:spacing w:lineRule="auto" w:line="240" w:after="0" w:before="0"/>
    </w:pPr>
  </w:style>
  <w:style w:type="paragraph" w:styleId="521">
    <w:name w:val="Title"/>
    <w:link w:val="52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2">
    <w:name w:val="Title Char"/>
    <w:link w:val="521"/>
    <w:uiPriority w:val="10"/>
    <w:rPr>
      <w:sz w:val="48"/>
      <w:szCs w:val="48"/>
    </w:rPr>
  </w:style>
  <w:style w:type="paragraph" w:styleId="523">
    <w:name w:val="Subtitle"/>
    <w:link w:val="524"/>
    <w:qFormat/>
    <w:uiPriority w:val="11"/>
    <w:rPr>
      <w:sz w:val="24"/>
      <w:szCs w:val="24"/>
    </w:rPr>
    <w:pPr>
      <w:spacing w:after="200" w:before="200"/>
    </w:pPr>
  </w:style>
  <w:style w:type="character" w:styleId="524">
    <w:name w:val="Subtitle Char"/>
    <w:link w:val="523"/>
    <w:uiPriority w:val="11"/>
    <w:rPr>
      <w:sz w:val="24"/>
      <w:szCs w:val="24"/>
    </w:rPr>
  </w:style>
  <w:style w:type="paragraph" w:styleId="525">
    <w:name w:val="Quote"/>
    <w:link w:val="526"/>
    <w:qFormat/>
    <w:uiPriority w:val="29"/>
    <w:rPr>
      <w:i/>
    </w:rPr>
    <w:pPr>
      <w:ind w:left="720" w:right="720"/>
    </w:pPr>
  </w:style>
  <w:style w:type="character" w:styleId="526">
    <w:name w:val="Quote Char"/>
    <w:link w:val="525"/>
    <w:uiPriority w:val="29"/>
    <w:rPr>
      <w:i/>
    </w:rPr>
  </w:style>
  <w:style w:type="paragraph" w:styleId="527">
    <w:name w:val="Intense Quote"/>
    <w:link w:val="528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8">
    <w:name w:val="Intense Quote Char"/>
    <w:link w:val="527"/>
    <w:uiPriority w:val="30"/>
    <w:rPr>
      <w:i/>
    </w:rPr>
  </w:style>
  <w:style w:type="paragraph" w:styleId="529">
    <w:name w:val="Header"/>
    <w:link w:val="53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30">
    <w:name w:val="Header Char"/>
    <w:link w:val="529"/>
    <w:uiPriority w:val="99"/>
  </w:style>
  <w:style w:type="paragraph" w:styleId="531">
    <w:name w:val="Footer"/>
    <w:link w:val="53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32">
    <w:name w:val="Footer Char"/>
    <w:link w:val="531"/>
    <w:uiPriority w:val="99"/>
  </w:style>
  <w:style w:type="paragraph" w:styleId="533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4">
    <w:name w:val="Caption Char"/>
    <w:basedOn w:val="533"/>
    <w:link w:val="531"/>
    <w:uiPriority w:val="99"/>
  </w:style>
  <w:style w:type="table" w:styleId="535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6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7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8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9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0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2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4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5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6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7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8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9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0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71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72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73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74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76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77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8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9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0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1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2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3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4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9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0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1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2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3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4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5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0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1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6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7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8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9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0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1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2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3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4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5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6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7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38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39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0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1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2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3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44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45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46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47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8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9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0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1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2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3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4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5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6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7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8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9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0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61">
    <w:name w:val="Hyperlink"/>
    <w:uiPriority w:val="99"/>
    <w:unhideWhenUsed/>
    <w:rPr>
      <w:color w:val="0000FF" w:themeColor="hyperlink"/>
      <w:u w:val="single"/>
    </w:rPr>
  </w:style>
  <w:style w:type="paragraph" w:styleId="662">
    <w:name w:val="footnote text"/>
    <w:link w:val="663"/>
    <w:uiPriority w:val="99"/>
    <w:semiHidden/>
    <w:unhideWhenUsed/>
    <w:rPr>
      <w:sz w:val="18"/>
    </w:rPr>
    <w:pPr>
      <w:spacing w:lineRule="auto" w:line="240" w:after="40"/>
    </w:pPr>
  </w:style>
  <w:style w:type="character" w:styleId="663">
    <w:name w:val="Footnote Text Char"/>
    <w:link w:val="662"/>
    <w:uiPriority w:val="99"/>
    <w:rPr>
      <w:sz w:val="18"/>
    </w:rPr>
  </w:style>
  <w:style w:type="character" w:styleId="664">
    <w:name w:val="footnote reference"/>
    <w:uiPriority w:val="99"/>
    <w:unhideWhenUsed/>
    <w:rPr>
      <w:vertAlign w:val="superscript"/>
    </w:rPr>
  </w:style>
  <w:style w:type="paragraph" w:styleId="665">
    <w:name w:val="endnote text"/>
    <w:link w:val="666"/>
    <w:uiPriority w:val="99"/>
    <w:semiHidden/>
    <w:unhideWhenUsed/>
    <w:rPr>
      <w:sz w:val="20"/>
    </w:rPr>
    <w:pPr>
      <w:spacing w:lineRule="auto" w:line="240" w:after="0"/>
    </w:pPr>
  </w:style>
  <w:style w:type="character" w:styleId="666">
    <w:name w:val="Endnote Text Char"/>
    <w:link w:val="665"/>
    <w:uiPriority w:val="99"/>
    <w:rPr>
      <w:sz w:val="20"/>
    </w:rPr>
  </w:style>
  <w:style w:type="character" w:styleId="667">
    <w:name w:val="endnote reference"/>
    <w:uiPriority w:val="99"/>
    <w:semiHidden/>
    <w:unhideWhenUsed/>
    <w:rPr>
      <w:vertAlign w:val="superscript"/>
    </w:rPr>
  </w:style>
  <w:style w:type="paragraph" w:styleId="668">
    <w:name w:val="toc 1"/>
    <w:uiPriority w:val="39"/>
    <w:unhideWhenUsed/>
    <w:pPr>
      <w:ind w:left="0" w:right="0" w:firstLine="0"/>
      <w:spacing w:after="57"/>
    </w:pPr>
  </w:style>
  <w:style w:type="paragraph" w:styleId="669">
    <w:name w:val="toc 2"/>
    <w:uiPriority w:val="39"/>
    <w:unhideWhenUsed/>
    <w:pPr>
      <w:ind w:left="283" w:right="0" w:firstLine="0"/>
      <w:spacing w:after="57"/>
    </w:pPr>
  </w:style>
  <w:style w:type="paragraph" w:styleId="670">
    <w:name w:val="toc 3"/>
    <w:uiPriority w:val="39"/>
    <w:unhideWhenUsed/>
    <w:pPr>
      <w:ind w:left="567" w:right="0" w:firstLine="0"/>
      <w:spacing w:after="57"/>
    </w:pPr>
  </w:style>
  <w:style w:type="paragraph" w:styleId="671">
    <w:name w:val="toc 4"/>
    <w:uiPriority w:val="39"/>
    <w:unhideWhenUsed/>
    <w:pPr>
      <w:ind w:left="850" w:right="0" w:firstLine="0"/>
      <w:spacing w:after="57"/>
    </w:pPr>
  </w:style>
  <w:style w:type="paragraph" w:styleId="672">
    <w:name w:val="toc 5"/>
    <w:uiPriority w:val="39"/>
    <w:unhideWhenUsed/>
    <w:pPr>
      <w:ind w:left="1134" w:right="0" w:firstLine="0"/>
      <w:spacing w:after="57"/>
    </w:pPr>
  </w:style>
  <w:style w:type="paragraph" w:styleId="673">
    <w:name w:val="toc 6"/>
    <w:uiPriority w:val="39"/>
    <w:unhideWhenUsed/>
    <w:pPr>
      <w:ind w:left="1417" w:right="0" w:firstLine="0"/>
      <w:spacing w:after="57"/>
    </w:pPr>
  </w:style>
  <w:style w:type="paragraph" w:styleId="674">
    <w:name w:val="toc 7"/>
    <w:uiPriority w:val="39"/>
    <w:unhideWhenUsed/>
    <w:pPr>
      <w:ind w:left="1701" w:right="0" w:firstLine="0"/>
      <w:spacing w:after="57"/>
    </w:pPr>
  </w:style>
  <w:style w:type="paragraph" w:styleId="675">
    <w:name w:val="toc 8"/>
    <w:uiPriority w:val="39"/>
    <w:unhideWhenUsed/>
    <w:pPr>
      <w:ind w:left="1984" w:right="0" w:firstLine="0"/>
      <w:spacing w:after="57"/>
    </w:pPr>
  </w:style>
  <w:style w:type="paragraph" w:styleId="676">
    <w:name w:val="toc 9"/>
    <w:uiPriority w:val="39"/>
    <w:unhideWhenUsed/>
    <w:pPr>
      <w:ind w:left="2268" w:right="0" w:firstLine="0"/>
      <w:spacing w:after="57"/>
    </w:pPr>
  </w:style>
  <w:style w:type="paragraph" w:styleId="677">
    <w:name w:val="TOC Heading"/>
    <w:uiPriority w:val="39"/>
    <w:unhideWhenUsed/>
  </w:style>
  <w:style w:type="paragraph" w:styleId="678">
    <w:name w:val="Обычный"/>
    <w:next w:val="678"/>
    <w:link w:val="678"/>
    <w:rPr>
      <w:rFonts w:ascii="Calibri" w:hAnsi="Calibri"/>
      <w:sz w:val="22"/>
      <w:szCs w:val="22"/>
      <w:lang w:val="ru-RU" w:bidi="ar-SA" w:eastAsia="ar-SA"/>
    </w:rPr>
    <w:pPr>
      <w:spacing w:lineRule="auto" w:line="276" w:after="200"/>
    </w:pPr>
  </w:style>
  <w:style w:type="paragraph" w:styleId="679">
    <w:name w:val="Заголовок 1"/>
    <w:basedOn w:val="678"/>
    <w:next w:val="679"/>
    <w:link w:val="711"/>
    <w:rPr>
      <w:rFonts w:ascii="Times New Roman" w:hAnsi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80">
    <w:name w:val="Основной шрифт абзаца"/>
    <w:next w:val="680"/>
    <w:link w:val="678"/>
    <w:semiHidden/>
  </w:style>
  <w:style w:type="table" w:styleId="681">
    <w:name w:val="Обычная таблица"/>
    <w:next w:val="681"/>
    <w:link w:val="678"/>
    <w:semiHidden/>
    <w:tblPr/>
  </w:style>
  <w:style w:type="numbering" w:styleId="682">
    <w:name w:val="Нет списка"/>
    <w:next w:val="682"/>
    <w:link w:val="678"/>
    <w:semiHidden/>
  </w:style>
  <w:style w:type="character" w:styleId="683">
    <w:name w:val="WW8Num1z0"/>
    <w:next w:val="683"/>
    <w:link w:val="678"/>
    <w:rPr>
      <w:rFonts w:ascii="Symbol" w:hAnsi="Symbol" w:eastAsia="Times New Roman"/>
      <w:b/>
    </w:rPr>
  </w:style>
  <w:style w:type="character" w:styleId="684">
    <w:name w:val="WW8Num1z1"/>
    <w:next w:val="684"/>
    <w:link w:val="678"/>
    <w:rPr>
      <w:rFonts w:ascii="Courier New" w:hAnsi="Courier New"/>
    </w:rPr>
  </w:style>
  <w:style w:type="character" w:styleId="685">
    <w:name w:val="WW8Num1z2"/>
    <w:next w:val="685"/>
    <w:link w:val="678"/>
    <w:rPr>
      <w:rFonts w:ascii="Wingdings" w:hAnsi="Wingdings"/>
    </w:rPr>
  </w:style>
  <w:style w:type="character" w:styleId="686">
    <w:name w:val="WW8Num1z3"/>
    <w:next w:val="686"/>
    <w:link w:val="678"/>
    <w:rPr>
      <w:rFonts w:ascii="Symbol" w:hAnsi="Symbol"/>
    </w:rPr>
  </w:style>
  <w:style w:type="character" w:styleId="687">
    <w:name w:val="WW8Num2z0"/>
    <w:next w:val="687"/>
    <w:link w:val="678"/>
  </w:style>
  <w:style w:type="character" w:styleId="688">
    <w:name w:val="WW8Num2z1"/>
    <w:next w:val="688"/>
    <w:link w:val="678"/>
  </w:style>
  <w:style w:type="character" w:styleId="689">
    <w:name w:val="WW8Num2z2"/>
    <w:next w:val="689"/>
    <w:link w:val="678"/>
  </w:style>
  <w:style w:type="character" w:styleId="690">
    <w:name w:val="WW8Num2z3"/>
    <w:next w:val="690"/>
    <w:link w:val="678"/>
  </w:style>
  <w:style w:type="character" w:styleId="691">
    <w:name w:val="WW8Num2z4"/>
    <w:next w:val="691"/>
    <w:link w:val="678"/>
  </w:style>
  <w:style w:type="character" w:styleId="692">
    <w:name w:val="WW8Num2z5"/>
    <w:next w:val="692"/>
    <w:link w:val="678"/>
  </w:style>
  <w:style w:type="character" w:styleId="693">
    <w:name w:val="WW8Num2z6"/>
    <w:next w:val="693"/>
    <w:link w:val="678"/>
  </w:style>
  <w:style w:type="character" w:styleId="694">
    <w:name w:val="WW8Num2z7"/>
    <w:next w:val="694"/>
    <w:link w:val="678"/>
  </w:style>
  <w:style w:type="character" w:styleId="695">
    <w:name w:val="WW8Num2z8"/>
    <w:next w:val="695"/>
    <w:link w:val="678"/>
  </w:style>
  <w:style w:type="character" w:styleId="696">
    <w:name w:val="WW8Num3z0"/>
    <w:next w:val="696"/>
    <w:link w:val="678"/>
    <w:rPr>
      <w:rFonts w:ascii="Symbol" w:hAnsi="Symbol" w:eastAsia="Times New Roman"/>
    </w:rPr>
  </w:style>
  <w:style w:type="character" w:styleId="697">
    <w:name w:val="WW8Num3z1"/>
    <w:next w:val="697"/>
    <w:link w:val="678"/>
    <w:rPr>
      <w:rFonts w:ascii="Courier New" w:hAnsi="Courier New"/>
    </w:rPr>
  </w:style>
  <w:style w:type="character" w:styleId="698">
    <w:name w:val="WW8Num3z2"/>
    <w:next w:val="698"/>
    <w:link w:val="678"/>
    <w:rPr>
      <w:rFonts w:ascii="Wingdings" w:hAnsi="Wingdings"/>
    </w:rPr>
  </w:style>
  <w:style w:type="character" w:styleId="699">
    <w:name w:val="WW8Num3z3"/>
    <w:next w:val="699"/>
    <w:link w:val="678"/>
    <w:rPr>
      <w:rFonts w:ascii="Symbol" w:hAnsi="Symbol"/>
    </w:rPr>
  </w:style>
  <w:style w:type="character" w:styleId="700">
    <w:name w:val="Основной шрифт абзаца1"/>
    <w:next w:val="700"/>
    <w:link w:val="678"/>
  </w:style>
  <w:style w:type="paragraph" w:styleId="701">
    <w:name w:val="Заголовок"/>
    <w:basedOn w:val="678"/>
    <w:next w:val="702"/>
    <w:link w:val="678"/>
    <w:rPr>
      <w:rFonts w:ascii="Arial" w:hAnsi="Arial" w:eastAsia="Arial Unicode MS"/>
      <w:sz w:val="28"/>
      <w:szCs w:val="28"/>
    </w:rPr>
    <w:pPr>
      <w:keepNext/>
      <w:spacing w:after="120" w:before="240"/>
    </w:pPr>
  </w:style>
  <w:style w:type="paragraph" w:styleId="702">
    <w:name w:val="Основной текст"/>
    <w:basedOn w:val="678"/>
    <w:next w:val="702"/>
    <w:link w:val="678"/>
    <w:pPr>
      <w:spacing w:after="120" w:before="0"/>
    </w:pPr>
  </w:style>
  <w:style w:type="paragraph" w:styleId="703">
    <w:name w:val="Список"/>
    <w:basedOn w:val="702"/>
    <w:next w:val="703"/>
    <w:link w:val="678"/>
  </w:style>
  <w:style w:type="paragraph" w:styleId="704">
    <w:name w:val="Название1"/>
    <w:basedOn w:val="678"/>
    <w:next w:val="704"/>
    <w:link w:val="678"/>
    <w:rPr>
      <w:i/>
      <w:iCs/>
      <w:sz w:val="24"/>
      <w:szCs w:val="24"/>
    </w:rPr>
    <w:pPr>
      <w:spacing w:after="120" w:before="120"/>
    </w:pPr>
  </w:style>
  <w:style w:type="paragraph" w:styleId="705">
    <w:name w:val="Указатель1"/>
    <w:basedOn w:val="678"/>
    <w:next w:val="705"/>
    <w:link w:val="678"/>
  </w:style>
  <w:style w:type="paragraph" w:styleId="706">
    <w:name w:val="Абзац списка"/>
    <w:basedOn w:val="678"/>
    <w:next w:val="706"/>
    <w:link w:val="678"/>
    <w:pPr>
      <w:ind w:left="720" w:right="0" w:firstLine="0"/>
    </w:pPr>
  </w:style>
  <w:style w:type="paragraph" w:styleId="707">
    <w:name w:val="ConsPlusTitle"/>
    <w:next w:val="707"/>
    <w:link w:val="678"/>
    <w:rPr>
      <w:b/>
      <w:bCs/>
      <w:sz w:val="24"/>
      <w:szCs w:val="24"/>
      <w:lang w:val="ru-RU" w:bidi="ar-SA" w:eastAsia="ar-SA"/>
    </w:rPr>
    <w:pPr>
      <w:widowControl w:val="off"/>
    </w:pPr>
  </w:style>
  <w:style w:type="paragraph" w:styleId="708">
    <w:name w:val="Содержимое таблицы"/>
    <w:basedOn w:val="678"/>
    <w:next w:val="708"/>
    <w:link w:val="678"/>
  </w:style>
  <w:style w:type="paragraph" w:styleId="709">
    <w:name w:val="Заголовок таблицы"/>
    <w:basedOn w:val="708"/>
    <w:next w:val="709"/>
    <w:link w:val="678"/>
    <w:rPr>
      <w:b/>
      <w:bCs/>
    </w:rPr>
    <w:pPr>
      <w:jc w:val="center"/>
    </w:pPr>
  </w:style>
  <w:style w:type="character" w:styleId="710">
    <w:name w:val="Гиперссылка"/>
    <w:basedOn w:val="680"/>
    <w:next w:val="710"/>
    <w:link w:val="678"/>
    <w:semiHidden/>
    <w:rPr>
      <w:color w:val="0000FF"/>
      <w:u w:val="single"/>
    </w:rPr>
  </w:style>
  <w:style w:type="character" w:styleId="711">
    <w:name w:val="Заголовок 1 Знак"/>
    <w:basedOn w:val="680"/>
    <w:next w:val="711"/>
    <w:link w:val="679"/>
    <w:rPr>
      <w:b/>
      <w:bCs/>
      <w:sz w:val="48"/>
      <w:szCs w:val="48"/>
    </w:rPr>
  </w:style>
  <w:style w:type="character" w:styleId="712" w:default="1">
    <w:name w:val="Default Paragraph Font"/>
    <w:uiPriority w:val="1"/>
    <w:semiHidden/>
    <w:unhideWhenUsed/>
  </w:style>
  <w:style w:type="numbering" w:styleId="713" w:default="1">
    <w:name w:val="No List"/>
    <w:uiPriority w:val="99"/>
    <w:semiHidden/>
    <w:unhideWhenUsed/>
  </w:style>
  <w:style w:type="paragraph" w:styleId="714" w:default="1">
    <w:name w:val="Normal"/>
    <w:qFormat/>
  </w:style>
  <w:style w:type="table" w:styleId="7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tektarif.ru/news/251c6bd7-f752-4108-bf16-ae97187ea706.aspx" TargetMode="External"/><Relationship Id="rId10" Type="http://schemas.openxmlformats.org/officeDocument/2006/relationships/hyperlink" Target="http://tektarif.ru/news/34d2f598-9aa7-40ef-a697-5575fd25de6f.asp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2022-02-14T14:30:26Z</dcterms:modified>
</cp:coreProperties>
</file>