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912" w:firstLine="708"/>
        <w:jc w:val="right"/>
      </w:pPr>
      <w:r>
        <w:t xml:space="preserve">          </w:t>
      </w:r>
      <w:r>
        <w:t xml:space="preserve">                 </w:t>
      </w:r>
      <w:r/>
    </w:p>
    <w:p>
      <w:pPr>
        <w:ind w:left="9912" w:firstLine="708"/>
        <w:rPr>
          <w:sz w:val="28"/>
          <w:szCs w:val="28"/>
        </w:rPr>
      </w:pPr>
      <w:r>
        <w:t xml:space="preserve"> </w:t>
      </w:r>
      <w:r>
        <w:t xml:space="preserve">  </w:t>
      </w:r>
      <w:r>
        <w:t xml:space="preserve">                                    </w:t>
      </w:r>
      <w:r>
        <w:rPr>
          <w:sz w:val="28"/>
          <w:szCs w:val="28"/>
        </w:rPr>
        <w:t xml:space="preserve">Приложение </w:t>
      </w:r>
      <w:r/>
    </w:p>
    <w:p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ind w:left="991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УТВЕРЖДЕН</w:t>
      </w:r>
      <w:r/>
    </w:p>
    <w:p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департамента </w:t>
      </w:r>
      <w:r/>
    </w:p>
    <w:p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осударственного регулирования цен и тарифов Костромской области</w:t>
      </w:r>
      <w:r/>
    </w:p>
    <w:p>
      <w:pPr>
        <w:ind w:left="9912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</w:t>
      </w:r>
      <w:r>
        <w:rPr>
          <w:sz w:val="28"/>
          <w:szCs w:val="28"/>
          <w:u w:val="single"/>
        </w:rPr>
        <w:t xml:space="preserve">2</w:t>
      </w:r>
      <w:r>
        <w:rPr>
          <w:sz w:val="28"/>
          <w:szCs w:val="28"/>
        </w:rPr>
        <w:t xml:space="preserve">__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мероприятий по противодействию коррупции и профилактике коррупционных и иных правонарушений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департаменте государственного регулирования цен и тарифов Костромской области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1 -2022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ы</w:t>
      </w:r>
      <w:r/>
    </w:p>
    <w:p>
      <w:pPr>
        <w:rPr>
          <w:sz w:val="26"/>
          <w:szCs w:val="28"/>
        </w:rPr>
      </w:pPr>
      <w:r>
        <w:rPr>
          <w:sz w:val="26"/>
          <w:szCs w:val="28"/>
        </w:rPr>
        <w:t xml:space="preserve">( в редакции приказа департамента государственного регулирования цен и тарифов Костромской области от 07.09.2021 № 33)</w:t>
      </w:r>
      <w:r>
        <w:rPr>
          <w:sz w:val="26"/>
        </w:rPr>
      </w:r>
    </w:p>
    <w:p>
      <w:pPr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ind w:left="851" w:hanging="851"/>
        <w:jc w:val="both"/>
        <w:spacing w:lineRule="atLeast" w:line="240"/>
        <w:rPr>
          <w:sz w:val="28"/>
          <w:szCs w:val="28"/>
        </w:rPr>
      </w:pPr>
      <w:r>
        <w:rPr>
          <w:b/>
          <w:sz w:val="28"/>
          <w:szCs w:val="28"/>
        </w:rPr>
        <w:t xml:space="preserve"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Противодействие коррупции и профилактика </w:t>
      </w:r>
      <w:r>
        <w:rPr>
          <w:sz w:val="28"/>
          <w:szCs w:val="28"/>
        </w:rPr>
        <w:t xml:space="preserve">коррупционных </w:t>
      </w:r>
      <w:r>
        <w:rPr>
          <w:sz w:val="28"/>
          <w:szCs w:val="28"/>
        </w:rPr>
        <w:t xml:space="preserve">и иных </w:t>
      </w:r>
      <w:r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 xml:space="preserve">в департаменте </w:t>
      </w:r>
      <w:r>
        <w:rPr>
          <w:sz w:val="28"/>
          <w:szCs w:val="28"/>
        </w:rPr>
        <w:t xml:space="preserve">  </w:t>
      </w:r>
      <w:r/>
    </w:p>
    <w:p>
      <w:pPr>
        <w:ind w:left="851" w:hanging="851"/>
        <w:jc w:val="both"/>
        <w:spacing w:lineRule="atLeast" w:line="2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регулирования цен и тарифов Костромской области.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30"/>
        <w:ind w:firstLine="0"/>
        <w:spacing w:after="0"/>
        <w:rPr>
          <w:rFonts w:cs="Times New Roman"/>
          <w:b w:val="false"/>
        </w:rPr>
      </w:pPr>
      <w:r>
        <w:t xml:space="preserve">Задачи: </w:t>
      </w:r>
      <w:r>
        <w:t xml:space="preserve"> </w:t>
      </w:r>
      <w:r>
        <w:rPr>
          <w:b w:val="false"/>
        </w:rPr>
        <w:t xml:space="preserve">1</w:t>
      </w:r>
      <w:r>
        <w:t xml:space="preserve">. </w:t>
      </w:r>
      <w:r>
        <w:rPr>
          <w:rFonts w:cs="Times New Roman"/>
          <w:b w:val="false"/>
        </w:rPr>
        <w:t xml:space="preserve">Проведение комплекса организационно-разъяснительных и иных мероприятий, направленных на соблюдение</w:t>
      </w:r>
      <w:r/>
    </w:p>
    <w:p>
      <w:pPr>
        <w:ind w:left="1134"/>
        <w:jc w:val="both"/>
        <w:spacing w:lineRule="atLeast" w:line="240"/>
        <w:rPr>
          <w:b/>
          <w:sz w:val="28"/>
          <w:szCs w:val="28"/>
        </w:rPr>
      </w:pPr>
      <w:r>
        <w:rPr>
          <w:sz w:val="28"/>
          <w:szCs w:val="28"/>
        </w:rPr>
        <w:t xml:space="preserve">государственными гражданскими служащими департамента государственного регулирования цен и тарифов Костромской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запретов, ограничений и требований, установленных в целях противодействия коррупции</w:t>
      </w:r>
      <w:r>
        <w:rPr>
          <w:sz w:val="28"/>
          <w:szCs w:val="28"/>
        </w:rPr>
        <w:t xml:space="preserve">.</w:t>
      </w:r>
      <w:r/>
    </w:p>
    <w:p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Повышение результативности работы 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 соблюдению требований к служебному поведению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урегулированию конфликта интересов.</w:t>
      </w:r>
      <w:r/>
    </w:p>
    <w:p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Противодействие коррупционным проявлениям в сфере закупок товаров (работ, услуг) для обеспечения государственных и муниципальных нужд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530"/>
        <w:ind w:left="1134" w:firstLine="0"/>
        <w:spacing w:after="0"/>
      </w:pPr>
      <w:r/>
      <w:r/>
    </w:p>
    <w:tbl>
      <w:tblPr>
        <w:tblW w:w="1559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36"/>
        <w:gridCol w:w="69"/>
        <w:gridCol w:w="6323"/>
        <w:gridCol w:w="48"/>
        <w:gridCol w:w="1971"/>
        <w:gridCol w:w="13"/>
        <w:gridCol w:w="141"/>
        <w:gridCol w:w="4121"/>
        <w:gridCol w:w="2271"/>
      </w:tblGrid>
      <w:tr>
        <w:trPr/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мероприятий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Срок </w:t>
            </w:r>
            <w:r>
              <w:t xml:space="preserve">проведения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 исполнитель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jc w:val="center"/>
            </w:pPr>
            <w:r>
              <w:t xml:space="preserve">Примечания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Основные организационные мероприятия</w:t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Рассмотрение </w:t>
            </w:r>
            <w:r>
              <w:t xml:space="preserve">вопросов</w:t>
            </w:r>
            <w:r>
              <w:t xml:space="preserve"> о принятых мерах</w:t>
            </w:r>
            <w:r>
              <w:t xml:space="preserve"> антикоррупционной направленности</w:t>
            </w:r>
            <w:r>
              <w:t xml:space="preserve">  20</w:t>
            </w:r>
            <w:r>
              <w:t xml:space="preserve">20 </w:t>
            </w:r>
            <w:r>
              <w:t xml:space="preserve">год,</w:t>
            </w:r>
            <w:r>
              <w:t xml:space="preserve"> </w:t>
            </w:r>
            <w:r>
              <w:t xml:space="preserve">2021</w:t>
            </w:r>
            <w:r>
              <w:t xml:space="preserve"> год</w:t>
            </w:r>
            <w:r>
              <w:t xml:space="preserve"> на </w:t>
            </w:r>
            <w:r/>
          </w:p>
          <w:p>
            <w:pPr>
              <w:jc w:val="both"/>
            </w:pPr>
            <w:r>
              <w:t xml:space="preserve">коллегии при департаменте</w:t>
            </w:r>
            <w:r>
              <w:t xml:space="preserve">. 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Ф</w:t>
            </w:r>
            <w:r>
              <w:t xml:space="preserve">еврал</w:t>
            </w:r>
            <w:r>
              <w:t xml:space="preserve">ь</w:t>
            </w:r>
            <w:r/>
          </w:p>
          <w:p>
            <w:pPr>
              <w:jc w:val="center"/>
            </w:pPr>
            <w:r>
              <w:t xml:space="preserve">20</w:t>
            </w:r>
            <w:r>
              <w:t xml:space="preserve">2</w:t>
            </w:r>
            <w:r>
              <w:t xml:space="preserve">1</w:t>
            </w:r>
            <w:r>
              <w:t xml:space="preserve"> года, </w:t>
            </w:r>
            <w:r>
              <w:t xml:space="preserve"> </w:t>
            </w:r>
            <w:r>
              <w:br/>
            </w:r>
            <w:r>
              <w:t xml:space="preserve">202</w:t>
            </w:r>
            <w:r>
              <w:t xml:space="preserve">2</w:t>
            </w:r>
            <w:r>
              <w:t xml:space="preserve"> </w:t>
            </w:r>
            <w:r>
              <w:t xml:space="preserve">год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 департамента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Вынесение на Экспертный совет администрации  Костромской области</w:t>
            </w:r>
            <w:r>
              <w:t xml:space="preserve"> по вопросам финансов, тарифной политики, имущественных отношений</w:t>
            </w:r>
            <w:r>
              <w:t xml:space="preserve"> нормативных правовых актов Костромской области, разработанных департаментом.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</w:t>
            </w:r>
            <w:r>
              <w:t xml:space="preserve"> 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 департамента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возможности для граждан и организаций беспрепятственно направлять свои сообщения о коррупционных нарушениях, допущенных государственными служащими департамента.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 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 департамента</w:t>
            </w:r>
            <w:r/>
          </w:p>
          <w:p>
            <w:pPr>
              <w:jc w:val="both"/>
            </w:pPr>
            <w:r>
              <w:t xml:space="preserve">Отдел финансов, проверок и контроля департамента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Осуществление мониторинга</w:t>
            </w:r>
            <w:r>
              <w:t xml:space="preserve"> официального сайта департамента в информационно-телекоммуникационной сети «Интернет» о ходе реализации в департаменте мер антикоррупционной направленности.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 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Первый заместитель директора департамента Смирнов А.Н.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Обеспечение соответс</w:t>
            </w:r>
            <w:r>
              <w:rPr>
                <w:b/>
              </w:rPr>
              <w:t xml:space="preserve">т</w:t>
            </w:r>
            <w:r>
              <w:rPr>
                <w:b/>
              </w:rPr>
              <w:t xml:space="preserve">вия правовых актов</w:t>
            </w:r>
            <w:r>
              <w:rPr>
                <w:b/>
              </w:rPr>
              <w:t xml:space="preserve"> департамента </w:t>
            </w:r>
            <w:r>
              <w:rPr>
                <w:b/>
              </w:rPr>
              <w:t xml:space="preserve">по противодействию коррупции федеральному законодательству</w:t>
            </w:r>
            <w:r>
              <w:rPr>
                <w:b/>
              </w:rPr>
              <w:t xml:space="preserve">, разработка и принятие планов по противодействию коррупции, отчет об исполнении плана мероприятий по противодействию коррупции</w:t>
            </w:r>
            <w:r/>
          </w:p>
        </w:tc>
      </w:tr>
      <w:tr>
        <w:trPr>
          <w:trHeight w:val="562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 xml:space="preserve">1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Принятие нормативных правовых актов по противодействию коррупции</w:t>
            </w:r>
            <w:r>
              <w:t xml:space="preserve">, внесение в них изменений в соответствии с изменениями федерального законодательства. 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 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Юридический отдел департамента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Информация о выполнении до 10 декабря отчетного года </w:t>
            </w:r>
            <w:r/>
          </w:p>
        </w:tc>
      </w:tr>
      <w:tr>
        <w:trPr>
          <w:trHeight w:val="562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Разработка плана мероприятий по противодействию коррупции, проведение общественного обсуждения (с привлечением экспертного сообщества) проекта данного плана.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  <w:p>
            <w:pPr>
              <w:jc w:val="center"/>
            </w:pPr>
            <w:r>
              <w:t xml:space="preserve">20</w:t>
            </w:r>
            <w:r>
              <w:t xml:space="preserve">21</w:t>
            </w:r>
            <w:r>
              <w:t xml:space="preserve"> года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Юридический отдел департамента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Информация о выполнении до 1 февраля 2021 года</w:t>
            </w:r>
            <w:r/>
          </w:p>
        </w:tc>
      </w:tr>
      <w:tr>
        <w:trPr>
          <w:trHeight w:val="390"/>
        </w:trPr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3" w:type="dxa"/>
            <w:textDirection w:val="lrTb"/>
            <w:noWrap w:val="false"/>
          </w:tcPr>
          <w:p>
            <w:pPr>
              <w:pStyle w:val="531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Антикоррупционная экспертиза нормативных правовых актов и их проектов </w:t>
            </w:r>
            <w:r/>
          </w:p>
        </w:tc>
      </w:tr>
      <w:tr>
        <w:trPr>
          <w:trHeight w:val="710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антикоррупционной экспертизы нормативных правовых актов и их проектов в целях выявления и устранения коррупционных факторов.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 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r>
              <w:t xml:space="preserve">Юридический отдел департамента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Информация о выполнении до 10 декабря отчетного года</w:t>
            </w:r>
            <w:r/>
          </w:p>
        </w:tc>
      </w:tr>
      <w:tr>
        <w:trPr>
          <w:trHeight w:val="1151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Направление нормативных правовых актов, разработанных и принятых департаментом, для проведения антикоррупционной экс</w:t>
            </w:r>
            <w:r>
              <w:t xml:space="preserve">п</w:t>
            </w:r>
            <w:r>
              <w:t xml:space="preserve">ертизы в </w:t>
            </w:r>
            <w:r>
              <w:t xml:space="preserve">Управление Министерства юстиции Российской Федерации по Костромской области</w:t>
            </w:r>
            <w:r>
              <w:t xml:space="preserve">,</w:t>
            </w:r>
            <w:r>
              <w:t xml:space="preserve"> </w:t>
            </w:r>
            <w:r>
              <w:t xml:space="preserve">прокуратуру Костромской области</w:t>
            </w:r>
            <w:r>
              <w:t xml:space="preserve">.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 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r>
              <w:t xml:space="preserve">Юридический отдел департамента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151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размещения проектов нормативных правовых актов, разработанных департаментом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на официальном сайте администрации Костромской области в информационно-телекоммуникационной сети «Интернет» </w:t>
            </w:r>
            <w:r>
              <w:rPr>
                <w:rFonts w:eastAsia="Calibri"/>
                <w:lang w:eastAsia="en-US"/>
              </w:rPr>
              <w:br/>
              <w:t xml:space="preserve">(</w:t>
            </w:r>
            <w:hyperlink r:id="rId15" w:tooltip="http://www.adm44.ru" w:history="1">
              <w:r>
                <w:rPr>
                  <w:rStyle w:val="536"/>
                  <w:rFonts w:eastAsia="Calibri"/>
                  <w:color w:val="auto"/>
                  <w:lang w:eastAsia="en-US"/>
                </w:rPr>
                <w:t xml:space="preserve">http://www.adm44.ru</w:t>
              </w:r>
            </w:hyperlink>
            <w:r>
              <w:rPr>
                <w:rFonts w:eastAsia="Calibri"/>
                <w:lang w:eastAsia="en-US"/>
              </w:rPr>
              <w:t xml:space="preserve">) </w:t>
            </w:r>
            <w:r>
              <w:t xml:space="preserve">для проведения независимой антикоррупционной экспертизы.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 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21" w:type="dxa"/>
            <w:textDirection w:val="lrTb"/>
            <w:noWrap w:val="false"/>
          </w:tcPr>
          <w:p>
            <w:r>
              <w:t xml:space="preserve">Отдел финансов, проверок и контроля департамента</w:t>
            </w:r>
            <w:r/>
          </w:p>
          <w:p>
            <w:r>
              <w:t xml:space="preserve">Отдел регулирования в электроэнергетике и газе департамента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30"/>
        </w:trPr>
        <w:tc>
          <w:tcPr>
            <w:gridSpan w:val="9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</w:t>
            </w:r>
            <w:r>
              <w:rPr>
                <w:b/>
              </w:rPr>
              <w:t xml:space="preserve">.</w:t>
            </w:r>
            <w:r>
              <w:t xml:space="preserve"> </w:t>
            </w:r>
            <w:r>
              <w:rPr>
                <w:b/>
              </w:rPr>
              <w:t xml:space="preserve">Организация взаимодействия </w:t>
            </w:r>
            <w:r>
              <w:rPr>
                <w:b/>
              </w:rPr>
              <w:t xml:space="preserve">департамента </w:t>
            </w:r>
            <w:r>
              <w:rPr>
                <w:b/>
              </w:rPr>
              <w:t xml:space="preserve">с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органами государственной власти Костромской области, государственными органами Костромской области, исполнительными  органами государственной власти Костромской области по вопросам противодействия коррупции</w:t>
            </w:r>
            <w:r/>
          </w:p>
        </w:tc>
      </w:tr>
      <w:tr>
        <w:trPr>
          <w:trHeight w:val="80"/>
        </w:trPr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И</w:t>
            </w:r>
            <w:r>
              <w:t xml:space="preserve">нформационн</w:t>
            </w:r>
            <w:r>
              <w:t xml:space="preserve">ый</w:t>
            </w:r>
            <w:r>
              <w:t xml:space="preserve"> обмен по вопросам противодействия коррупции и профилактике коррупционных правонарушений между администрацией Костромской области</w:t>
            </w:r>
            <w:r>
              <w:t xml:space="preserve">,</w:t>
            </w:r>
            <w:r>
              <w:t xml:space="preserve"> исполнительными органами государственной власти Костромской области,  государственными органами Костромской области.</w:t>
            </w:r>
            <w:r/>
          </w:p>
        </w:tc>
        <w:tc>
          <w:tcPr>
            <w:gridSpan w:val="3"/>
            <w:shd w:val="clear" w:color="auto" w:fill="auto"/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 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>
          <w:trHeight w:val="80"/>
        </w:trPr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 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правоохранительн</w:t>
            </w:r>
            <w:r>
              <w:t xml:space="preserve">ых органов Костромской области о фактах нарушения лицами, замещающими государственные должности департамента государственного регулирования цен и тарифов Костромской области, требований антикоррупционного законодательства, содержащих признаки преступления.</w:t>
            </w:r>
            <w:r/>
          </w:p>
        </w:tc>
        <w:tc>
          <w:tcPr>
            <w:gridSpan w:val="3"/>
            <w:shd w:val="clear" w:color="auto" w:fill="auto"/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</w:t>
            </w:r>
            <w:r/>
          </w:p>
          <w:p>
            <w:pPr>
              <w:jc w:val="center"/>
            </w:pPr>
            <w:r>
              <w:t xml:space="preserve">планируемого периода</w:t>
            </w:r>
            <w:r/>
          </w:p>
        </w:tc>
        <w:tc>
          <w:tcPr>
            <w:shd w:val="clear" w:color="auto" w:fill="auto"/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>
          <w:trHeight w:val="80"/>
        </w:trPr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Представление с</w:t>
            </w:r>
            <w:r>
              <w:t xml:space="preserve">ведени</w:t>
            </w:r>
            <w:r>
              <w:t xml:space="preserve">й</w:t>
            </w:r>
            <w:r>
              <w:t xml:space="preserve"> о ходе реализации мер по </w:t>
            </w:r>
            <w:r>
              <w:t xml:space="preserve">противодействию коррупции в департаменте </w:t>
            </w:r>
            <w:r>
              <w:t xml:space="preserve">(мониторинг) </w:t>
            </w:r>
            <w:r>
              <w:t xml:space="preserve">в отдел по профилактике коррупционных и иных правонарушений администрации Костромской области.</w:t>
            </w:r>
            <w:r/>
          </w:p>
        </w:tc>
        <w:tc>
          <w:tcPr>
            <w:gridSpan w:val="3"/>
            <w:shd w:val="clear" w:color="auto" w:fill="auto"/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  нарастающим итогом</w:t>
            </w:r>
            <w:r/>
          </w:p>
        </w:tc>
        <w:tc>
          <w:tcPr>
            <w:shd w:val="clear" w:color="auto" w:fill="auto"/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80"/>
        </w:trPr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Представление сведений </w:t>
            </w:r>
            <w:r>
              <w:t xml:space="preserve">о </w:t>
            </w:r>
            <w:r>
              <w:t xml:space="preserve">государственных гражданских </w:t>
            </w:r>
            <w:r>
              <w:t xml:space="preserve">служащих, уволившихся из департамента в отдел по профилактике коррупционных и иных правонарушений администрации Костромской области</w:t>
            </w:r>
            <w:r>
              <w:t xml:space="preserve">.</w:t>
            </w:r>
            <w:r/>
          </w:p>
        </w:tc>
        <w:tc>
          <w:tcPr>
            <w:gridSpan w:val="3"/>
            <w:shd w:val="clear" w:color="auto" w:fill="auto"/>
            <w:tcW w:w="2125" w:type="dxa"/>
            <w:textDirection w:val="lrTb"/>
            <w:noWrap w:val="false"/>
          </w:tcPr>
          <w:p>
            <w:pPr>
              <w:jc w:val="both"/>
            </w:pPr>
            <w:r>
              <w:t xml:space="preserve">Ежеквартально</w:t>
            </w:r>
            <w:r/>
          </w:p>
        </w:tc>
        <w:tc>
          <w:tcPr>
            <w:shd w:val="clear" w:color="auto" w:fill="auto"/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  <w:p>
            <w:pPr>
              <w:jc w:val="both"/>
            </w:pPr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453"/>
        </w:trPr>
        <w:tc>
          <w:tcPr>
            <w:gridSpan w:val="9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</w:t>
            </w:r>
            <w:r>
              <w:rPr>
                <w:b/>
              </w:rPr>
              <w:t xml:space="preserve">. Организация работы в департаменте совещательных и экспертных органов по противодействию коррупции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комиссии по противодействию коррупции в департаменте.</w:t>
            </w:r>
            <w:r/>
          </w:p>
        </w:tc>
        <w:tc>
          <w:tcPr>
            <w:gridSpan w:val="3"/>
            <w:shd w:val="clear" w:color="auto" w:fill="auto"/>
            <w:tcW w:w="2125" w:type="dxa"/>
            <w:textDirection w:val="lrTb"/>
            <w:noWrap w:val="false"/>
          </w:tcPr>
          <w:p>
            <w:r>
              <w:t xml:space="preserve">П</w:t>
            </w:r>
            <w:r>
              <w:t xml:space="preserve">о плану работы комиссии</w:t>
            </w:r>
            <w:r/>
          </w:p>
        </w:tc>
        <w:tc>
          <w:tcPr>
            <w:shd w:val="clear" w:color="auto" w:fill="auto"/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 </w:t>
            </w:r>
            <w:r>
              <w:t xml:space="preserve">Информация о результатах деятельности </w:t>
            </w:r>
            <w:r>
              <w:t xml:space="preserve">комиссии в ежеквартальный отчет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комиссии по соблюдению требований к служебному поведению государственных служащих </w:t>
            </w:r>
            <w:r>
              <w:t xml:space="preserve">департамента </w:t>
            </w:r>
            <w:r>
              <w:t xml:space="preserve">и урегулированию конфликта интересов.</w:t>
            </w:r>
            <w:r/>
          </w:p>
        </w:tc>
        <w:tc>
          <w:tcPr>
            <w:gridSpan w:val="3"/>
            <w:shd w:val="clear" w:color="auto" w:fill="auto"/>
            <w:tcW w:w="2125" w:type="dxa"/>
            <w:textDirection w:val="lrTb"/>
            <w:noWrap w:val="false"/>
          </w:tcPr>
          <w:p>
            <w:r>
              <w:t xml:space="preserve">П</w:t>
            </w:r>
            <w:r>
              <w:t xml:space="preserve">о мере необходимости</w:t>
            </w:r>
            <w:r/>
          </w:p>
        </w:tc>
        <w:tc>
          <w:tcPr>
            <w:shd w:val="clear" w:color="auto" w:fill="auto"/>
            <w:tcW w:w="4121" w:type="dxa"/>
            <w:textDirection w:val="lrTb"/>
            <w:noWrap w:val="false"/>
          </w:tcPr>
          <w:p>
            <w:pPr>
              <w:jc w:val="both"/>
            </w:pPr>
            <w:r>
              <w:t xml:space="preserve">Первый заместитель директора департамента Смирнов А.Н.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9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</w:t>
            </w: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 </w:t>
            </w:r>
            <w:r>
              <w:rPr>
                <w:b/>
              </w:rPr>
              <w:t xml:space="preserve">Осуществление антикоррупционного мониторинга</w:t>
            </w:r>
            <w:r/>
          </w:p>
        </w:tc>
      </w:tr>
      <w:tr>
        <w:trPr/>
        <w:tc>
          <w:tcPr>
            <w:gridSpan w:val="9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1.Организация контроля за доходами (расходами) </w:t>
            </w:r>
            <w:r>
              <w:rPr>
                <w:b/>
              </w:rPr>
              <w:t xml:space="preserve"> лиц,  замещающих государственные должности Костромской области в </w:t>
            </w:r>
            <w:r>
              <w:rPr>
                <w:b/>
              </w:rPr>
              <w:t xml:space="preserve">департамент</w:t>
            </w:r>
            <w:r>
              <w:rPr>
                <w:b/>
              </w:rPr>
              <w:t xml:space="preserve">е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 xml:space="preserve">1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Организация компании по представлению сведений о доходах, расходах, об имуществе и обязательствах имущественного характера </w:t>
            </w:r>
            <w:r>
              <w:t xml:space="preserve">с использованием специального программного обеспечения «Справки БК»: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02"/>
        </w:trPr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1.1.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государственными гражданскими служащими департамента, чьи должности включены в соответствующий перечень. 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Ежегодно, не позднее </w:t>
            </w:r>
            <w:r/>
          </w:p>
          <w:p>
            <w:pPr>
              <w:jc w:val="center"/>
            </w:pPr>
            <w:r>
              <w:t xml:space="preserve">30 апреля 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r>
              <w:t xml:space="preserve">Юридический отдел департамента</w:t>
            </w:r>
            <w:r/>
          </w:p>
          <w:p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>
              <w:t xml:space="preserve">Информация о выполнении до 10 декабря отчетного года</w:t>
            </w:r>
            <w:r/>
          </w:p>
        </w:tc>
      </w:tr>
      <w:tr>
        <w:trPr>
          <w:trHeight w:val="1385"/>
        </w:trPr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1.2.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кандидатами, претендующими на замещение государственных должностей Костромской области, должностей государственной гражданской службы Костромской области (включенные в соответствующий перечень).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r>
              <w:t xml:space="preserve">Юридический отдел департамента</w:t>
            </w:r>
            <w:r/>
          </w:p>
          <w:p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Размещение сведений о доходах, расходах, об имуществе и обязательствах имущественного характера на официальном сайте департамента. 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Ежегодно </w:t>
            </w:r>
            <w:r>
              <w:t xml:space="preserve">в установленные законодательством сроки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r>
              <w:t xml:space="preserve">Юридический отдел департамента</w:t>
            </w:r>
            <w:r/>
          </w:p>
          <w:p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Организация проверки </w:t>
            </w:r>
            <w:r>
              <w:t xml:space="preserve">достоверности полноты </w:t>
            </w:r>
            <w:r>
              <w:t xml:space="preserve">сведений </w:t>
            </w:r>
            <w:r>
              <w:t xml:space="preserve">о доходах, об имуществе и обязательствах имущественного характера лиц, </w:t>
            </w:r>
            <w:r>
              <w:t xml:space="preserve">претенд</w:t>
            </w:r>
            <w:r>
              <w:t xml:space="preserve">ующих </w:t>
            </w:r>
            <w:r>
              <w:t xml:space="preserve">на замещение должностей государственной гражданской службы </w:t>
            </w:r>
            <w:r>
              <w:t xml:space="preserve">департамента, осуществление полномочий по которым влечет за собой обязанность представлять указанные сведения. 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Юридический отдел департамента</w:t>
            </w:r>
            <w:r/>
          </w:p>
          <w:p>
            <w:pPr>
              <w:jc w:val="both"/>
            </w:pPr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9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2. Контроль </w:t>
            </w:r>
            <w:r>
              <w:rPr>
                <w:b/>
              </w:rPr>
              <w:t xml:space="preserve">за соблюдением государственными служащими </w:t>
            </w:r>
            <w:r>
              <w:rPr>
                <w:b/>
              </w:rPr>
              <w:t xml:space="preserve">запретов и ограниче</w:t>
            </w:r>
            <w:r>
              <w:rPr>
                <w:b/>
              </w:rPr>
              <w:t xml:space="preserve">ний 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Проверка знаний запретов и ограничений, установленных </w:t>
            </w:r>
            <w:r>
              <w:t xml:space="preserve">антикоррупционным законодательством, в ходе аттестации государственных гражданских служащих департамента.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</w:t>
            </w:r>
            <w:r>
              <w:t xml:space="preserve">планируемого периода </w:t>
            </w:r>
            <w:r>
              <w:t xml:space="preserve"> по плану работы комиссии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  <w:p>
            <w:pPr>
              <w:jc w:val="both"/>
            </w:pPr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</w:t>
            </w:r>
            <w:r>
              <w:t xml:space="preserve">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Проверка</w:t>
            </w:r>
            <w:r>
              <w:t xml:space="preserve"> подлинности документов, представляемых претендентами на замещение должностей государственной гражданской службы </w:t>
            </w:r>
            <w:r>
              <w:t xml:space="preserve">департамента, о </w:t>
            </w:r>
            <w:r>
              <w:t xml:space="preserve">соответстви</w:t>
            </w:r>
            <w:r>
              <w:t xml:space="preserve">и</w:t>
            </w:r>
            <w:r>
              <w:t xml:space="preserve"> квалификационным требованиям.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 в</w:t>
            </w:r>
            <w:r>
              <w:t xml:space="preserve"> течение </w:t>
            </w:r>
            <w:r>
              <w:t xml:space="preserve">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Юридический отдел департамента</w:t>
            </w:r>
            <w:r/>
          </w:p>
          <w:p>
            <w:pPr>
              <w:jc w:val="both"/>
            </w:pPr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outlineLvl w:val="0"/>
            </w:pPr>
            <w:r>
              <w:t xml:space="preserve">Организация контроля за соблюдением ограничений, предусмотренных ст</w:t>
            </w:r>
            <w:r>
              <w:t xml:space="preserve">атьей</w:t>
            </w:r>
            <w:r>
              <w:t xml:space="preserve"> 12 Федерального закона </w:t>
            </w:r>
            <w:r>
              <w:br/>
            </w:r>
            <w:r>
              <w:t xml:space="preserve">«О противодействии коррупции», налагаемых на граждан, </w:t>
            </w:r>
            <w:r>
              <w:t xml:space="preserve">ранее </w:t>
            </w:r>
            <w:r>
              <w:t xml:space="preserve">замещающи</w:t>
            </w:r>
            <w:r>
              <w:t xml:space="preserve">х</w:t>
            </w:r>
            <w:r>
              <w:t xml:space="preserve"> должности государственной гражданской службы департамента</w:t>
            </w:r>
            <w:r>
              <w:t xml:space="preserve">. 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Юридический отдел департамента</w:t>
            </w:r>
            <w:r/>
          </w:p>
          <w:p>
            <w:pPr>
              <w:jc w:val="both"/>
            </w:pPr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4.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Осуществление мониторинга исполнения государственными служащих департамента запрета на з</w:t>
            </w:r>
            <w:r>
              <w:t xml:space="preserve">анятие предпринимательской деятельностью и участие в работе органов управления коммерческих организаций, а также некоммерческих организаций, финансируемых исключительно за счет средств иностранных государств, иностранных  организаций и иностранных граждан.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Юридический отдел департамента</w:t>
            </w:r>
            <w:r/>
          </w:p>
          <w:p>
            <w:pPr>
              <w:jc w:val="both"/>
              <w:spacing w:lineRule="atLeast" w:line="240"/>
            </w:pPr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  <w:spacing w:lineRule="atLeast" w:line="240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мониторинг</w:t>
            </w:r>
            <w:r>
              <w:t xml:space="preserve">а соблюдения государственными гражданскими служащими ограничения, касающегося нахождения на службе лиц, состоящих в близком родстве или свойстве, если замещение должности одним из них связано с непосредственной подчиненностью или подконтрольностью другому.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  <w:p>
            <w:pPr>
              <w:jc w:val="both"/>
            </w:pPr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мониторинга соблюдения государственными гражданскими служащими департамента запрета получать вознаграждения от физических и юридических лиц в связи с исполнением служебных обязанностей, должностных полномочий. 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мониторинга исполнения государственными гражданскими служащими </w:t>
            </w:r>
            <w:r>
              <w:t xml:space="preserve">департамента запретов, связанных с избиранием на выборные должности, участием в работе политических партий и ведением предвыборной агитации.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</w:t>
            </w:r>
            <w:r>
              <w:t xml:space="preserve">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</w:t>
            </w:r>
            <w:r>
              <w:t xml:space="preserve">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мониторинга соблюдения обязанности уведомлять об обращениях в целях склонения служащих департамента к совершению коррупционных правонарушений. 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Один раз в полугодие </w:t>
            </w:r>
            <w:r>
              <w:t xml:space="preserve"> до</w:t>
            </w:r>
            <w:r/>
          </w:p>
          <w:p>
            <w:pPr>
              <w:jc w:val="center"/>
            </w:pPr>
            <w:r>
              <w:t xml:space="preserve">20 числа месяца, следующего за отчетным периодом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мониторинга сведен</w:t>
            </w:r>
            <w:r>
              <w:t xml:space="preserve">ий о судимости, осуждения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государственных гражданских служащих департамента.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  <w:p>
            <w:pPr>
              <w:jc w:val="center"/>
            </w:pPr>
            <w:r>
              <w:t xml:space="preserve">д</w:t>
            </w:r>
            <w:r>
              <w:t xml:space="preserve">о</w:t>
            </w:r>
            <w:r/>
          </w:p>
          <w:p>
            <w:pPr>
              <w:jc w:val="center"/>
            </w:pPr>
            <w:r>
              <w:t xml:space="preserve">1 июля</w:t>
            </w:r>
            <w:r/>
          </w:p>
          <w:p>
            <w:pPr>
              <w:jc w:val="center"/>
            </w:pPr>
            <w:r>
              <w:t xml:space="preserve">и</w:t>
            </w:r>
            <w:r/>
          </w:p>
          <w:p>
            <w:pPr>
              <w:jc w:val="center"/>
            </w:pPr>
            <w:r>
              <w:t xml:space="preserve">1 декабря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gridSpan w:val="9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  Контроль за исполнением актикоррупционного законодательства</w:t>
            </w:r>
            <w:r/>
          </w:p>
        </w:tc>
      </w:tr>
      <w:tr>
        <w:trPr>
          <w:trHeight w:val="1657"/>
        </w:trPr>
        <w:tc>
          <w:tcPr>
            <w:shd w:val="clear" w:color="auto" w:fill="auto"/>
            <w:tcBorders>
              <w:right w:val="single" w:sz="4" w:space="0" w:color="auto"/>
              <w:bottom w:val="single" w:sz="4" w:space="0" w:color="auto"/>
            </w:tcBorders>
            <w:tcW w:w="636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392" w:type="dxa"/>
            <w:textDirection w:val="lrTb"/>
            <w:noWrap w:val="false"/>
          </w:tcPr>
          <w:p>
            <w:pPr>
              <w:jc w:val="both"/>
            </w:pPr>
            <w:r>
              <w:t xml:space="preserve">Размещение отчетов о результатах работы комиссии по соблюдению требований к служебному поведению государственных служащих департамента</w:t>
            </w:r>
            <w:r>
              <w:t xml:space="preserve"> </w:t>
            </w:r>
            <w:r/>
          </w:p>
          <w:p>
            <w:pPr>
              <w:jc w:val="both"/>
              <w:rPr>
                <w:b/>
              </w:rPr>
            </w:pPr>
            <w:r>
              <w:t xml:space="preserve">и</w:t>
            </w:r>
            <w:r>
              <w:t xml:space="preserve"> урегулированию конфликта интересов </w:t>
            </w:r>
            <w:r>
              <w:t xml:space="preserve">на официальном сайте департамента (с соблюдением требований законодательства о защите персональных данных).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01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jc w:val="center"/>
              <w:rPr>
                <w:b/>
              </w:rPr>
            </w:pPr>
            <w:r>
              <w:t xml:space="preserve">В течение планируемого периода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gridSpan w:val="3"/>
            <w:shd w:val="clear" w:color="auto" w:fill="auto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75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 (кадровая служба)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bottom w:val="single" w:sz="4" w:space="0" w:color="auto"/>
            </w:tcBorders>
            <w:tcW w:w="2271" w:type="dxa"/>
            <w:textDirection w:val="lrTb"/>
            <w:noWrap w:val="false"/>
          </w:tcPr>
          <w:p>
            <w:pPr>
              <w:spacing w:lineRule="auto" w:line="276" w:after="20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lineRule="auto" w:line="276" w:after="20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909"/>
        </w:trPr>
        <w:tc>
          <w:tcPr>
            <w:shd w:val="clear" w:color="auto" w:fill="auto"/>
            <w:tcBorders>
              <w:right w:val="single" w:sz="4" w:space="0" w:color="auto"/>
              <w:bottom w:val="single" w:sz="4" w:space="0" w:color="auto"/>
            </w:tcBorders>
            <w:tcW w:w="636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392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обращений граждан по вопросам, связанным с  проявлениями коррупции в департаменте. 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01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3"/>
            <w:shd w:val="clear" w:color="auto" w:fill="auto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75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финансов, проверок и контроля департамента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bottom w:val="single" w:sz="4" w:space="0" w:color="auto"/>
            </w:tcBorders>
            <w:tcW w:w="2271" w:type="dxa"/>
            <w:textDirection w:val="lrTb"/>
            <w:noWrap w:val="false"/>
          </w:tcPr>
          <w:p>
            <w:pPr>
              <w:spacing w:lineRule="auto" w:line="276" w:after="200"/>
              <w:rPr>
                <w:b/>
              </w:rPr>
            </w:pPr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top w:val="single" w:sz="4" w:space="0" w:color="auto"/>
            </w:tcBorders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VII</w:t>
            </w:r>
            <w:r>
              <w:rPr>
                <w:b/>
              </w:rPr>
              <w:t xml:space="preserve">.</w:t>
            </w:r>
            <w:r>
              <w:rPr>
                <w:b/>
                <w:lang w:val="en-US"/>
              </w:rPr>
              <w:t xml:space="preserve"> </w:t>
            </w:r>
            <w:r>
              <w:rPr>
                <w:b/>
              </w:rPr>
              <w:t xml:space="preserve">Антикоррупционное и правовое просвещение государственных служащих департамента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Участие государственных служащих департамента в работе круглых столов, семинаров и тематических конференций по вопросам противодействия коррупции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семинаров (лекций) по правовому просвещению государственных служащих </w:t>
            </w:r>
            <w:r>
              <w:t xml:space="preserve">департамента, в том числе по тематике антикоррупцинной  направленности.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</w:t>
            </w:r>
            <w:r>
              <w:t xml:space="preserve">периода </w:t>
            </w:r>
            <w:r>
              <w:t xml:space="preserve">согласно расписаний занятий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Проверка знаний антикоррупционного законодательства государственными служащими департамента</w:t>
            </w:r>
            <w:r>
              <w:t xml:space="preserve"> (тестирование)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 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Своевременная актуализация информации по вопросам  противодействия</w:t>
            </w:r>
            <w:r>
              <w:t xml:space="preserve"> и профилактики</w:t>
            </w:r>
            <w:r>
              <w:t xml:space="preserve"> коррупции, размещенной </w:t>
            </w:r>
            <w:r>
              <w:t xml:space="preserve">на официальном сайте, </w:t>
            </w:r>
            <w:r>
              <w:t xml:space="preserve">в местах  свободного доступа в департаменте (оформление стендов).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системы обратной связи с населением </w:t>
            </w:r>
            <w:r>
              <w:t xml:space="preserve">с целью выявления </w:t>
            </w:r>
            <w:r>
              <w:t xml:space="preserve">фактов коррупционного поведения со стороны государственных гражданских служащих департамента (телефон доверия, электронная почта доверия на официальных сайтах).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  <w:p>
            <w:r>
              <w:t xml:space="preserve">Отдел финансов, проверок и контроля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>
              <w:t xml:space="preserve">Информация о выполнении до 10 декабря отчетного года</w:t>
            </w:r>
            <w:r/>
          </w:p>
        </w:tc>
      </w:tr>
      <w:tr>
        <w:trPr/>
        <w:tc>
          <w:tcPr>
            <w:gridSpan w:val="2"/>
            <w:shd w:val="clear" w:color="auto" w:fill="FFFFFF"/>
            <w:tcW w:w="70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FFFFFF"/>
            <w:tcW w:w="6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lang w:val="ru-RU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lang w:val="ru-RU"/>
              </w:rPr>
              <w:t xml:space="preserve">частие государственных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lang w:val="ru-RU"/>
              </w:rPr>
              <w:t xml:space="preserve">ельным профессиональным программам в области противодействия коррупции.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  <w:r/>
          </w:p>
        </w:tc>
        <w:tc>
          <w:tcPr>
            <w:gridSpan w:val="2"/>
            <w:shd w:val="clear" w:color="auto" w:fill="FFFFFF"/>
            <w:tcW w:w="426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  <w:r/>
          </w:p>
          <w:p>
            <w:r>
              <w:t xml:space="preserve">(кадровая служба)</w:t>
            </w:r>
            <w:r/>
            <w:r/>
          </w:p>
        </w:tc>
        <w:tc>
          <w:tcPr>
            <w:shd w:val="clear" w:color="auto" w:fill="FFFFFF"/>
            <w:tcW w:w="2271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shd w:val="clear" w:color="auto" w:fill="FFFFFF"/>
            <w:tcW w:w="70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gridSpan w:val="2"/>
            <w:shd w:val="clear" w:color="auto" w:fill="FFFFFF"/>
            <w:tcW w:w="63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lang w:val="ru-RU"/>
              </w:rPr>
              <w:t xml:space="preserve">Участие государственных служащих департамента,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lang w:val="ru-RU"/>
              </w:rPr>
              <w:t xml:space="preserve">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8"/>
              </w:rPr>
            </w:r>
            <w:r/>
            <w:r/>
            <w:r/>
          </w:p>
        </w:tc>
        <w:tc>
          <w:tcPr>
            <w:gridSpan w:val="2"/>
            <w:shd w:val="clear" w:color="auto" w:fill="FFFFFF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 течение планируемого периода</w:t>
            </w:r>
            <w:r/>
            <w:r/>
          </w:p>
        </w:tc>
        <w:tc>
          <w:tcPr>
            <w:gridSpan w:val="2"/>
            <w:shd w:val="clear" w:color="auto" w:fill="FFFFFF"/>
            <w:tcW w:w="426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  <w:r/>
          </w:p>
          <w:p>
            <w:r>
              <w:t xml:space="preserve">(кадровая служба)</w:t>
            </w:r>
            <w:r/>
            <w:r/>
          </w:p>
        </w:tc>
        <w:tc>
          <w:tcPr>
            <w:shd w:val="clear" w:color="auto" w:fill="FFFFFF"/>
            <w:tcW w:w="2271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9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VIII</w:t>
            </w:r>
            <w:r>
              <w:rPr>
                <w:b/>
              </w:rPr>
              <w:t xml:space="preserve">. Взаимодействие с гражданским обществом по вопросам противодействия коррупции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доступа граждан к информации о деятельности департамента через информационно-телекоммуникационную сеть «Интернет».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r>
              <w:t xml:space="preserve">Отдел финансов, проверок </w:t>
            </w:r>
            <w:r/>
          </w:p>
          <w:p>
            <w:r>
              <w:t xml:space="preserve">и контроля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Доклад директора департамента </w:t>
            </w:r>
            <w:r>
              <w:t xml:space="preserve">о</w:t>
            </w:r>
            <w:r>
              <w:t xml:space="preserve"> деятельности департамента и о</w:t>
            </w:r>
            <w:r>
              <w:t xml:space="preserve"> принятых мерах по противодействию коррупции за 20</w:t>
            </w:r>
            <w:r>
              <w:t xml:space="preserve">20</w:t>
            </w:r>
            <w:r>
              <w:t xml:space="preserve"> год, </w:t>
            </w:r>
            <w:r>
              <w:t xml:space="preserve">2021 </w:t>
            </w:r>
            <w:r>
              <w:t xml:space="preserve">год на площадке Общественной палаты Костромской области. 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Ф</w:t>
            </w:r>
            <w:r>
              <w:t xml:space="preserve">еврал</w:t>
            </w:r>
            <w:r>
              <w:t xml:space="preserve">ь</w:t>
            </w:r>
            <w:r/>
          </w:p>
          <w:p>
            <w:pPr>
              <w:jc w:val="center"/>
            </w:pPr>
            <w:r>
              <w:t xml:space="preserve"> 20</w:t>
            </w:r>
            <w:r>
              <w:t xml:space="preserve">2</w:t>
            </w:r>
            <w:r>
              <w:t xml:space="preserve">1</w:t>
            </w:r>
            <w:r>
              <w:t xml:space="preserve"> года, </w:t>
            </w:r>
            <w:r/>
          </w:p>
          <w:p>
            <w:pPr>
              <w:jc w:val="center"/>
            </w:pPr>
            <w:r>
              <w:t xml:space="preserve">2022 </w:t>
            </w:r>
            <w:r>
              <w:t xml:space="preserve"> год</w:t>
            </w:r>
            <w:r>
              <w:t xml:space="preserve">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r>
              <w:t xml:space="preserve">Юридический отдел департамента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shd w:val="clear" w:color="auto" w:fill="auto"/>
            <w:tcW w:w="705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6371" w:type="dxa"/>
            <w:textDirection w:val="lrTb"/>
            <w:noWrap w:val="false"/>
          </w:tcPr>
          <w:p>
            <w:pPr>
              <w:jc w:val="both"/>
            </w:pPr>
            <w:r>
              <w:t xml:space="preserve">Привлечение представителей гражданского общества к участию в работе </w:t>
            </w:r>
            <w:r>
              <w:t xml:space="preserve">комиссии по противодействию коррупции, </w:t>
            </w:r>
            <w:r>
              <w:t xml:space="preserve">конкурсных, аттестационных комиссий и комиссии по соблюдению требований к служебному поведению и урегулированию конфликта интересов.</w:t>
            </w:r>
            <w:r/>
          </w:p>
        </w:tc>
        <w:tc>
          <w:tcPr>
            <w:gridSpan w:val="2"/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планируемого периода</w:t>
            </w:r>
            <w:r/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both"/>
            </w:pPr>
            <w:r>
              <w:t xml:space="preserve">Юридический отдел департамента</w:t>
            </w:r>
            <w:r/>
          </w:p>
          <w:p>
            <w:pPr>
              <w:jc w:val="both"/>
            </w:pPr>
            <w:r>
              <w:t xml:space="preserve">(кадровая служба)</w:t>
            </w:r>
            <w:r/>
          </w:p>
        </w:tc>
        <w:tc>
          <w:tcPr>
            <w:shd w:val="clear" w:color="auto" w:fill="auto"/>
            <w:tcW w:w="22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both"/>
      </w:pPr>
      <w:r>
        <w:tab/>
      </w:r>
      <w:r/>
    </w:p>
    <w:p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директора департамента </w:t>
      </w:r>
      <w:r>
        <w:rPr>
          <w:sz w:val="28"/>
          <w:szCs w:val="28"/>
        </w:rPr>
        <w:t xml:space="preserve">государственного </w:t>
      </w:r>
      <w:r/>
    </w:p>
    <w:p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регулирования цен и тарифов Костромской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А.Н.</w:t>
      </w:r>
      <w:r>
        <w:rPr>
          <w:sz w:val="28"/>
          <w:szCs w:val="28"/>
        </w:rPr>
        <w:t xml:space="preserve">Смирнов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851" w:right="624" w:bottom="79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3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3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53282"/>
      <w:rPr/>
    </w:sdtPr>
    <w:sdtContent>
      <w:p>
        <w:pPr>
          <w:pStyle w:val="528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528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23"/>
    <w:next w:val="52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2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23"/>
    <w:next w:val="523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2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23"/>
    <w:next w:val="52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2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23"/>
    <w:next w:val="523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2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23"/>
    <w:next w:val="52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2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23"/>
    <w:next w:val="52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2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23"/>
    <w:next w:val="52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2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23"/>
    <w:next w:val="52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2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23"/>
    <w:next w:val="52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2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23"/>
    <w:next w:val="52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24"/>
    <w:link w:val="32"/>
    <w:uiPriority w:val="10"/>
    <w:rPr>
      <w:sz w:val="48"/>
      <w:szCs w:val="48"/>
    </w:rPr>
  </w:style>
  <w:style w:type="paragraph" w:styleId="34">
    <w:name w:val="Subtitle"/>
    <w:basedOn w:val="523"/>
    <w:next w:val="52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24"/>
    <w:link w:val="34"/>
    <w:uiPriority w:val="11"/>
    <w:rPr>
      <w:sz w:val="24"/>
      <w:szCs w:val="24"/>
    </w:rPr>
  </w:style>
  <w:style w:type="paragraph" w:styleId="36">
    <w:name w:val="Quote"/>
    <w:basedOn w:val="523"/>
    <w:next w:val="52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23"/>
    <w:next w:val="523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24"/>
    <w:link w:val="528"/>
    <w:uiPriority w:val="99"/>
  </w:style>
  <w:style w:type="character" w:styleId="43">
    <w:name w:val="Footer Char"/>
    <w:basedOn w:val="524"/>
    <w:link w:val="532"/>
    <w:uiPriority w:val="99"/>
  </w:style>
  <w:style w:type="paragraph" w:styleId="44">
    <w:name w:val="Caption"/>
    <w:basedOn w:val="523"/>
    <w:next w:val="5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32"/>
    <w:uiPriority w:val="99"/>
  </w:style>
  <w:style w:type="table" w:styleId="46">
    <w:name w:val="Table Grid"/>
    <w:basedOn w:val="52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5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2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24"/>
    <w:uiPriority w:val="99"/>
    <w:unhideWhenUsed/>
    <w:rPr>
      <w:vertAlign w:val="superscript"/>
    </w:rPr>
  </w:style>
  <w:style w:type="paragraph" w:styleId="176">
    <w:name w:val="endnote text"/>
    <w:basedOn w:val="52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24"/>
    <w:uiPriority w:val="99"/>
    <w:semiHidden/>
    <w:unhideWhenUsed/>
    <w:rPr>
      <w:vertAlign w:val="superscript"/>
    </w:rPr>
  </w:style>
  <w:style w:type="paragraph" w:styleId="179">
    <w:name w:val="toc 1"/>
    <w:basedOn w:val="523"/>
    <w:next w:val="52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23"/>
    <w:next w:val="52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23"/>
    <w:next w:val="52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23"/>
    <w:next w:val="52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23"/>
    <w:next w:val="52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23"/>
    <w:next w:val="52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23"/>
    <w:next w:val="52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23"/>
    <w:next w:val="52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23"/>
    <w:next w:val="52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523" w:default="1">
    <w:name w:val="Normal"/>
    <w:qFormat/>
    <w:rPr>
      <w:rFonts w:ascii="Times New Roman" w:hAnsi="Times New Roman" w:cs="Times New Roman" w:eastAsia="Times New Roman"/>
      <w:sz w:val="24"/>
      <w:szCs w:val="24"/>
      <w:lang w:eastAsia="ar-SA"/>
    </w:rPr>
    <w:pPr>
      <w:spacing w:lineRule="auto" w:line="240" w:after="0"/>
    </w:pPr>
  </w:style>
  <w:style w:type="character" w:styleId="524" w:default="1">
    <w:name w:val="Default Paragraph Font"/>
    <w:uiPriority w:val="1"/>
    <w:semiHidden/>
    <w:unhideWhenUsed/>
  </w:style>
  <w:style w:type="table" w:styleId="52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26" w:default="1">
    <w:name w:val="No List"/>
    <w:uiPriority w:val="99"/>
    <w:semiHidden/>
    <w:unhideWhenUsed/>
  </w:style>
  <w:style w:type="character" w:styleId="527">
    <w:name w:val="page number"/>
    <w:basedOn w:val="524"/>
  </w:style>
  <w:style w:type="paragraph" w:styleId="528">
    <w:name w:val="Header"/>
    <w:basedOn w:val="523"/>
    <w:link w:val="529"/>
    <w:uiPriority w:val="99"/>
    <w:pPr>
      <w:tabs>
        <w:tab w:val="center" w:pos="4677" w:leader="none"/>
        <w:tab w:val="right" w:pos="9355" w:leader="none"/>
      </w:tabs>
    </w:pPr>
  </w:style>
  <w:style w:type="character" w:styleId="529" w:customStyle="1">
    <w:name w:val="Верхний колонтитул Знак"/>
    <w:basedOn w:val="524"/>
    <w:link w:val="528"/>
    <w:uiPriority w:val="99"/>
    <w:rPr>
      <w:rFonts w:ascii="Times New Roman" w:hAnsi="Times New Roman" w:cs="Times New Roman" w:eastAsia="Times New Roman"/>
      <w:sz w:val="24"/>
      <w:szCs w:val="24"/>
      <w:lang w:eastAsia="ar-SA"/>
    </w:rPr>
  </w:style>
  <w:style w:type="paragraph" w:styleId="530" w:customStyle="1">
    <w:name w:val="ConsPlusTitle"/>
    <w:rPr>
      <w:rFonts w:ascii="Times New Roman" w:hAnsi="Times New Roman" w:cs="Calibri" w:eastAsia="Arial"/>
      <w:b/>
      <w:bCs/>
      <w:sz w:val="28"/>
      <w:szCs w:val="28"/>
      <w:lang w:eastAsia="ar-SA"/>
    </w:rPr>
    <w:pPr>
      <w:ind w:firstLine="709"/>
      <w:jc w:val="both"/>
      <w:spacing w:lineRule="auto" w:line="240"/>
    </w:pPr>
  </w:style>
  <w:style w:type="paragraph" w:styleId="531">
    <w:name w:val="List Paragraph"/>
    <w:basedOn w:val="523"/>
    <w:qFormat/>
    <w:uiPriority w:val="34"/>
    <w:pPr>
      <w:contextualSpacing w:val="true"/>
      <w:ind w:left="720"/>
    </w:pPr>
  </w:style>
  <w:style w:type="paragraph" w:styleId="532">
    <w:name w:val="Footer"/>
    <w:basedOn w:val="523"/>
    <w:link w:val="53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533" w:customStyle="1">
    <w:name w:val="Нижний колонтитул Знак"/>
    <w:basedOn w:val="524"/>
    <w:link w:val="532"/>
    <w:uiPriority w:val="99"/>
    <w:semiHidden/>
    <w:rPr>
      <w:rFonts w:ascii="Times New Roman" w:hAnsi="Times New Roman" w:cs="Times New Roman" w:eastAsia="Times New Roman"/>
      <w:sz w:val="24"/>
      <w:szCs w:val="24"/>
      <w:lang w:eastAsia="ar-SA"/>
    </w:rPr>
  </w:style>
  <w:style w:type="paragraph" w:styleId="534">
    <w:name w:val="Balloon Text"/>
    <w:basedOn w:val="523"/>
    <w:link w:val="535"/>
    <w:uiPriority w:val="99"/>
    <w:semiHidden/>
    <w:unhideWhenUsed/>
    <w:rPr>
      <w:rFonts w:ascii="Tahoma" w:hAnsi="Tahoma" w:cs="Tahoma"/>
      <w:sz w:val="16"/>
      <w:szCs w:val="16"/>
    </w:rPr>
  </w:style>
  <w:style w:type="character" w:styleId="535" w:customStyle="1">
    <w:name w:val="Текст выноски Знак"/>
    <w:basedOn w:val="524"/>
    <w:link w:val="534"/>
    <w:uiPriority w:val="99"/>
    <w:semiHidden/>
    <w:rPr>
      <w:rFonts w:ascii="Tahoma" w:hAnsi="Tahoma" w:cs="Tahoma" w:eastAsia="Times New Roman"/>
      <w:sz w:val="16"/>
      <w:szCs w:val="16"/>
      <w:lang w:eastAsia="ar-SA"/>
    </w:rPr>
  </w:style>
  <w:style w:type="character" w:styleId="536">
    <w:name w:val="Hyperlink"/>
    <w:basedOn w:val="52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://www.adm44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дТЭКиТП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revision>86</cp:revision>
  <dcterms:created xsi:type="dcterms:W3CDTF">2021-01-14T11:11:00Z</dcterms:created>
  <dcterms:modified xsi:type="dcterms:W3CDTF">2022-03-23T08:46:02Z</dcterms:modified>
</cp:coreProperties>
</file>