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tbl>
      <w:tblPr>
        <w:tblStyle w:val="695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1</w:t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УТВЕРЖДЕНЫ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rFonts w:eastAsia="Calibri"/>
                <w:sz w:val="28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«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29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»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2021 года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№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 </w:t>
            </w:r>
            <w:r>
              <w:rPr>
                <w:sz w:val="28"/>
              </w:rPr>
            </w:r>
            <w:r/>
          </w:p>
        </w:tc>
      </w:tr>
    </w:tbl>
    <w:p>
      <w:pPr>
        <w:ind w:firstLine="851"/>
        <w:jc w:val="center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ind w:firstLine="851"/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</w:r>
      <w:r>
        <w:rPr>
          <w:b w:val="false"/>
        </w:rPr>
      </w:r>
      <w:r/>
    </w:p>
    <w:p>
      <w:pPr>
        <w:ind w:firstLine="851"/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ПРАВИЛА </w:t>
      </w:r>
      <w:r>
        <w:rPr>
          <w:b w:val="false"/>
        </w:rPr>
      </w:r>
      <w:r/>
    </w:p>
    <w:p>
      <w:pPr>
        <w:ind w:firstLine="851"/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обработки персональных данных</w:t>
      </w:r>
      <w:r>
        <w:rPr>
          <w:b w:val="false"/>
        </w:rPr>
      </w:r>
      <w:r/>
    </w:p>
    <w:p>
      <w:pPr>
        <w:ind w:firstLine="851"/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в </w:t>
      </w:r>
      <w:r>
        <w:rPr>
          <w:rFonts w:eastAsia="Calibri"/>
          <w:b w:val="false"/>
          <w:lang w:eastAsia="en-US"/>
        </w:rPr>
        <w:t xml:space="preserve">департаменте государственного регулирования цен и тарифов Костромской области </w:t>
      </w:r>
      <w:r>
        <w:rPr>
          <w:b w:val="false"/>
        </w:rPr>
      </w:r>
      <w:r/>
    </w:p>
    <w:p>
      <w:pPr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1. </w:t>
      </w:r>
      <w:r>
        <w:rPr>
          <w:rFonts w:eastAsia="Calibri"/>
          <w:b w:val="false"/>
          <w:bCs w:val="false"/>
          <w:lang w:eastAsia="en-US"/>
        </w:rPr>
        <w:t xml:space="preserve">Настоящие Правила </w:t>
      </w:r>
      <w:r>
        <w:rPr>
          <w:rFonts w:eastAsia="Calibri"/>
          <w:b w:val="false"/>
          <w:bCs w:val="false"/>
          <w:lang w:eastAsia="en-US"/>
        </w:rPr>
        <w:t xml:space="preserve">обработки персональных данных в департаменте государственного регулирования цен и тарифов Костромской области (далее – Правила) </w:t>
      </w:r>
      <w:r>
        <w:rPr>
          <w:rFonts w:eastAsia="Calibri"/>
          <w:b w:val="false"/>
          <w:bCs w:val="false"/>
          <w:lang w:eastAsia="en-US"/>
        </w:rPr>
        <w:t xml:space="preserve">в соответствии с Федеральным </w:t>
      </w:r>
      <w:r>
        <w:rPr>
          <w:rFonts w:eastAsia="Calibri"/>
          <w:b w:val="false"/>
          <w:bCs w:val="false"/>
          <w:lang w:eastAsia="en-US"/>
        </w:rPr>
        <w:t xml:space="preserve">законом от 27 июля 2006 года № 152-ФЗ «О персональных данных»</w:t>
      </w:r>
      <w:r>
        <w:rPr>
          <w:rFonts w:eastAsia="Calibri"/>
          <w:b w:val="false"/>
          <w:bCs w:val="false"/>
          <w:lang w:eastAsia="en-US"/>
        </w:rPr>
        <w:t xml:space="preserve">, </w:t>
      </w:r>
      <w:r>
        <w:rPr>
          <w:rFonts w:eastAsia="Calibri"/>
          <w:b w:val="false"/>
          <w:bCs w:val="false"/>
          <w:lang w:eastAsia="en-US"/>
        </w:rPr>
        <w:t xml:space="preserve">постановлениями </w:t>
      </w:r>
      <w:r>
        <w:rPr>
          <w:rFonts w:eastAsia="Calibri"/>
          <w:b w:val="false"/>
          <w:bCs w:val="false"/>
          <w:lang w:eastAsia="en-US"/>
        </w:rPr>
        <w:t xml:space="preserve">Правительства Российской Федерации </w:t>
        <w:br/>
      </w:r>
      <w:r>
        <w:rPr>
          <w:rFonts w:eastAsia="Calibri"/>
          <w:b w:val="false"/>
          <w:bCs w:val="false"/>
          <w:lang w:eastAsia="en-US"/>
        </w:rPr>
        <w:t xml:space="preserve">от 15 сентября 2008 года № 687 «</w:t>
      </w:r>
      <w:r>
        <w:rPr>
          <w:rFonts w:eastAsia="Calibri"/>
          <w:b w:val="false"/>
          <w:bCs w:val="false"/>
          <w:lang w:eastAsia="en-US"/>
        </w:rPr>
        <w:t xml:space="preserve">Об утверждении Положения об особенностях обработки персональных данных, осуществляемых без использования средст</w:t>
      </w:r>
      <w:r>
        <w:rPr>
          <w:rFonts w:eastAsia="Calibri"/>
          <w:b w:val="false"/>
          <w:bCs w:val="false"/>
          <w:lang w:eastAsia="en-US"/>
        </w:rPr>
        <w:t xml:space="preserve">в автоматизации»</w:t>
      </w:r>
      <w:r>
        <w:rPr>
          <w:rFonts w:eastAsia="Calibri"/>
          <w:b w:val="false"/>
          <w:bCs w:val="false"/>
          <w:lang w:eastAsia="en-US"/>
        </w:rPr>
        <w:t xml:space="preserve">, </w:t>
      </w:r>
      <w:r>
        <w:rPr>
          <w:rFonts w:eastAsia="Calibri"/>
          <w:b w:val="false"/>
          <w:bCs w:val="false"/>
          <w:lang w:eastAsia="en-US"/>
        </w:rPr>
        <w:t xml:space="preserve">от 21 марта 2012 года № 211</w:t>
      </w:r>
      <w:r>
        <w:rPr>
          <w:rFonts w:eastAsia="Calibri"/>
          <w:b w:val="false"/>
          <w:bCs w:val="false"/>
          <w:lang w:eastAsia="en-US"/>
        </w:rPr>
        <w:br/>
        <w:t xml:space="preserve">«</w:t>
      </w:r>
      <w:r>
        <w:rPr>
          <w:rFonts w:eastAsia="Calibri"/>
          <w:b w:val="false"/>
          <w:bCs w:val="false"/>
          <w:lang w:eastAsia="en-US"/>
        </w:rPr>
        <w:t xml:space="preserve">Об утверждении перечня мер, направленных на обеспечение выполнения обязанностей, преду</w:t>
      </w:r>
      <w:r>
        <w:rPr>
          <w:rFonts w:eastAsia="Calibri"/>
          <w:b w:val="false"/>
          <w:bCs w:val="false"/>
          <w:lang w:eastAsia="en-US"/>
        </w:rPr>
        <w:t xml:space="preserve">смотренных Федеральным законом «</w:t>
      </w:r>
      <w:r>
        <w:rPr>
          <w:rFonts w:eastAsia="Calibri"/>
          <w:b w:val="false"/>
          <w:bCs w:val="false"/>
          <w:lang w:eastAsia="en-US"/>
        </w:rPr>
        <w:t xml:space="preserve">О персональных данных</w:t>
      </w:r>
      <w:r>
        <w:rPr>
          <w:rFonts w:eastAsia="Calibri"/>
          <w:b w:val="false"/>
          <w:bCs w:val="false"/>
          <w:lang w:eastAsia="en-US"/>
        </w:rPr>
        <w:t xml:space="preserve">»</w:t>
      </w:r>
      <w:r>
        <w:rPr>
          <w:rFonts w:eastAsia="Calibri"/>
          <w:b w:val="false"/>
          <w:bCs w:val="false"/>
          <w:lang w:eastAsia="en-US"/>
        </w:rPr>
        <w:t xml:space="preserve"> и принятыми в соответствии с ним нормативными правовыми актами, операторами, являющимися государственн</w:t>
      </w:r>
      <w:r>
        <w:rPr>
          <w:rFonts w:eastAsia="Calibri"/>
          <w:b w:val="false"/>
          <w:bCs w:val="false"/>
          <w:lang w:eastAsia="en-US"/>
        </w:rPr>
        <w:t xml:space="preserve">ыми или муниципальными органами»</w:t>
      </w:r>
      <w:r>
        <w:rPr>
          <w:rFonts w:eastAsia="Calibri"/>
          <w:b w:val="false"/>
          <w:bCs w:val="false"/>
          <w:lang w:eastAsia="en-US"/>
        </w:rPr>
        <w:t xml:space="preserve"> регулируют отношения, связанные с порядком приема, учета, сбора, обработки, накопления и хранения документов, содержащих сведения, отнесенные к персональным данным.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2. Настоящими Правилами обработки персональных данных в </w:t>
      </w:r>
      <w:r>
        <w:rPr>
          <w:rFonts w:eastAsia="Calibri"/>
          <w:b w:val="false"/>
          <w:bCs w:val="false"/>
          <w:lang w:eastAsia="en-US"/>
        </w:rPr>
        <w:t xml:space="preserve">департаменте государственного регулирования цен и тарифов Костромской области</w:t>
      </w:r>
      <w:r>
        <w:rPr>
          <w:rFonts w:eastAsia="Calibri"/>
          <w:b w:val="false"/>
          <w:bCs w:val="false"/>
          <w:lang w:eastAsia="en-US"/>
        </w:rPr>
        <w:t xml:space="preserve"> (далее - </w:t>
      </w:r>
      <w:r>
        <w:rPr>
          <w:rFonts w:eastAsia="Calibri"/>
          <w:b w:val="false"/>
          <w:bCs w:val="false"/>
          <w:lang w:eastAsia="en-US"/>
        </w:rPr>
        <w:t xml:space="preserve">департамент</w:t>
      </w:r>
      <w:r>
        <w:rPr>
          <w:rFonts w:eastAsia="Calibri"/>
          <w:b w:val="false"/>
          <w:bCs w:val="false"/>
          <w:lang w:eastAsia="en-US"/>
        </w:rPr>
        <w:t xml:space="preserve">) определяются: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процедуры, направленные на выявление и предотвращение нарушений законодательства Российской Федерации в сфере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</w:t>
      </w:r>
      <w:r>
        <w:rPr>
          <w:rFonts w:eastAsia="Calibri"/>
          <w:b w:val="false"/>
          <w:bCs w:val="false"/>
          <w:lang w:eastAsia="en-US"/>
        </w:rPr>
        <w:t xml:space="preserve">) содержание обрабатываемых персональных данных для каждой цели обработки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</w:t>
      </w:r>
      <w:r>
        <w:rPr>
          <w:rFonts w:eastAsia="Calibri"/>
          <w:b w:val="false"/>
          <w:bCs w:val="false"/>
          <w:lang w:eastAsia="en-US"/>
        </w:rPr>
        <w:t xml:space="preserve">) категории субъектов, персональные данные которых обрабатываются;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сроки обработки и хранения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</w:t>
      </w:r>
      <w:r>
        <w:rPr>
          <w:rFonts w:eastAsia="Calibri"/>
          <w:b w:val="false"/>
          <w:bCs w:val="false"/>
          <w:lang w:eastAsia="en-US"/>
        </w:rPr>
        <w:t xml:space="preserve">) порядок уничтожения персональных данных при достижении целей обработки или при наступлении иных законных оснований.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3. В настоящих Правилах используются термины и определения, установленные Федеральным </w:t>
      </w:r>
      <w:r>
        <w:rPr>
          <w:rFonts w:eastAsia="Calibri"/>
          <w:b w:val="false"/>
          <w:bCs w:val="false"/>
          <w:lang w:eastAsia="en-US"/>
        </w:rPr>
        <w:t xml:space="preserve">законом от 27 июля 2006 года № 152-ФЗ</w:t>
        <w:br/>
        <w:t xml:space="preserve">«О персональных данных» (далее - Федеральный закон «О персональных данных»)</w:t>
      </w:r>
      <w:r>
        <w:rPr>
          <w:rFonts w:eastAsia="Calibri"/>
          <w:b w:val="false"/>
          <w:bCs w:val="false"/>
          <w:lang w:eastAsia="en-US"/>
        </w:rPr>
        <w:t xml:space="preserve">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4. Принципы обработки персональных данных: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должна осуществляться на законной и справедливой основе;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должна ограничиваться достижением конкретных, определенных настоящими Правилами </w:t>
      </w:r>
      <w:r>
        <w:rPr>
          <w:rFonts w:eastAsia="Calibri"/>
          <w:b w:val="false"/>
          <w:bCs w:val="false"/>
          <w:lang w:eastAsia="en-US"/>
        </w:rPr>
        <w:t xml:space="preserve">законных целей, н</w:t>
      </w:r>
      <w:r>
        <w:rPr>
          <w:rFonts w:eastAsia="Calibri"/>
          <w:b w:val="false"/>
          <w:bCs w:val="false"/>
          <w:lang w:eastAsia="en-US"/>
        </w:rPr>
        <w:t xml:space="preserve">е допускается обработка персональных данных, несовместимая с целями сбора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</w:t>
      </w:r>
      <w:r>
        <w:rPr>
          <w:rFonts w:eastAsia="Calibri"/>
          <w:b w:val="false"/>
          <w:bCs w:val="false"/>
          <w:lang w:eastAsia="en-US"/>
        </w:rPr>
        <w:t xml:space="preserve">)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обработке подлежат только персональные данные, которые отвечают целям их обработки;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</w:t>
      </w:r>
      <w:r>
        <w:rPr>
          <w:rFonts w:eastAsia="Calibri"/>
          <w:b w:val="false"/>
          <w:bCs w:val="false"/>
          <w:lang w:eastAsia="en-US"/>
        </w:rPr>
        <w:t xml:space="preserve">) содержание и объем обрабатываемых персональных данных должны соответствова</w:t>
      </w:r>
      <w:r>
        <w:rPr>
          <w:rFonts w:eastAsia="Calibri"/>
          <w:b w:val="false"/>
          <w:bCs w:val="false"/>
          <w:lang w:eastAsia="en-US"/>
        </w:rPr>
        <w:t xml:space="preserve">ть заявленным целям обработки, о</w:t>
      </w:r>
      <w:r>
        <w:rPr>
          <w:rFonts w:eastAsia="Calibri"/>
          <w:b w:val="false"/>
          <w:bCs w:val="false"/>
          <w:lang w:eastAsia="en-US"/>
        </w:rPr>
        <w:t xml:space="preserve">брабатываемые персональные данные не должны быть избыточными по отношению к заявленным целям их обработки;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</w:t>
      </w:r>
      <w:r>
        <w:rPr>
          <w:rFonts w:eastAsia="Calibri"/>
          <w:b w:val="false"/>
          <w:bCs w:val="false"/>
          <w:lang w:eastAsia="en-US"/>
        </w:rPr>
        <w:t xml:space="preserve">)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департамента, допущенные к обработке персональных данных,</w:t>
      </w:r>
      <w:r>
        <w:rPr>
          <w:rFonts w:eastAsia="Calibri"/>
          <w:b w:val="false"/>
          <w:bCs w:val="false"/>
          <w:lang w:eastAsia="en-US"/>
        </w:rPr>
        <w:t xml:space="preserve"> должны принимать необходимые меры либо обеспечивать их принятие по удалению или уточнению неполных или неточных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</w:t>
      </w:r>
      <w:r>
        <w:rPr>
          <w:rFonts w:eastAsia="Calibri"/>
          <w:b w:val="false"/>
          <w:bCs w:val="false"/>
          <w:lang w:eastAsia="en-US"/>
        </w:rPr>
        <w:t xml:space="preserve">)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</w:t>
      </w:r>
      <w:r>
        <w:rPr>
          <w:rFonts w:eastAsia="Calibri"/>
          <w:b w:val="false"/>
          <w:bCs w:val="false"/>
          <w:lang w:eastAsia="en-US"/>
        </w:rPr>
        <w:t xml:space="preserve">ьных данных не установлен федеральным законом.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5. Обработка персональных данных в </w:t>
      </w:r>
      <w:r>
        <w:rPr>
          <w:rFonts w:eastAsia="Calibri"/>
          <w:b w:val="false"/>
          <w:bCs w:val="false"/>
          <w:lang w:eastAsia="en-US"/>
        </w:rPr>
        <w:t xml:space="preserve">департаменте </w:t>
      </w:r>
      <w:r>
        <w:rPr>
          <w:rFonts w:eastAsia="Calibri"/>
          <w:b w:val="false"/>
          <w:bCs w:val="false"/>
          <w:lang w:eastAsia="en-US"/>
        </w:rPr>
        <w:t xml:space="preserve">осуществляется для следующих целей: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</w:t>
      </w:r>
      <w:r>
        <w:rPr>
          <w:rFonts w:eastAsia="Calibri"/>
          <w:b w:val="false"/>
          <w:bCs w:val="false"/>
          <w:lang w:eastAsia="en-US"/>
        </w:rPr>
        <w:t xml:space="preserve">регулирование отношений, связанных с прохождением государственной гражданской службы Костромской области в департаменте;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2) формирование кадрового резерва департамента;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3) исполнение государственной функции «Рассмотрение обращений граждан»;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</w:t>
      </w:r>
      <w:r>
        <w:rPr>
          <w:b w:val="false"/>
          <w:sz w:val="28"/>
        </w:rPr>
        <w:t xml:space="preserve">обеспечения установленных законодательством Российской Федерации условий труда, гарантий и компенсаций, </w:t>
      </w:r>
      <w:r>
        <w:rPr>
          <w:b w:val="false"/>
          <w:sz w:val="28"/>
          <w:szCs w:val="28"/>
        </w:rPr>
        <w:t xml:space="preserve">выполнение требований трудового законодательства Российской Федерации и законодательства о государственной гражданской службе Российской Федерации в </w:t>
      </w:r>
      <w:r>
        <w:rPr>
          <w:b w:val="false"/>
          <w:sz w:val="28"/>
          <w:szCs w:val="28"/>
        </w:rPr>
        <w:t xml:space="preserve">целях </w:t>
      </w:r>
      <w:r>
        <w:rPr>
          <w:b w:val="false"/>
          <w:sz w:val="28"/>
          <w:szCs w:val="28"/>
        </w:rPr>
        <w:t xml:space="preserve">ведения бухгалтерского учета</w:t>
      </w:r>
      <w:r>
        <w:rPr>
          <w:b w:val="false"/>
          <w:sz w:val="28"/>
        </w:rPr>
        <w:t xml:space="preserve">, </w:t>
      </w:r>
      <w:r>
        <w:rPr>
          <w:b w:val="false"/>
          <w:sz w:val="28"/>
        </w:rPr>
        <w:t xml:space="preserve">а также </w:t>
      </w:r>
      <w:r>
        <w:rPr>
          <w:b w:val="false"/>
          <w:sz w:val="28"/>
        </w:rPr>
        <w:t xml:space="preserve">в целях противодействия коррупции;</w:t>
      </w:r>
      <w:r>
        <w:rPr>
          <w:b w:val="false"/>
        </w:rPr>
      </w:r>
      <w:r/>
    </w:p>
    <w:p>
      <w:pPr>
        <w:ind w:firstLine="851"/>
        <w:jc w:val="both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5) правовое закрепление принципов, касающихся обработки персональных данных, порядка хранения и использования </w:t>
      </w:r>
      <w:r>
        <w:rPr>
          <w:rFonts w:eastAsia="Calibri"/>
          <w:b w:val="false"/>
          <w:bCs w:val="false"/>
          <w:lang w:eastAsia="en-US"/>
        </w:rPr>
        <w:t xml:space="preserve">их </w:t>
      </w:r>
      <w:r>
        <w:rPr>
          <w:rFonts w:eastAsia="Calibri"/>
          <w:b w:val="false"/>
          <w:bCs w:val="false"/>
          <w:lang w:eastAsia="en-US"/>
        </w:rPr>
        <w:t xml:space="preserve">в </w:t>
      </w:r>
      <w:r>
        <w:rPr>
          <w:rFonts w:eastAsia="Calibri"/>
          <w:b w:val="false"/>
          <w:bCs w:val="false"/>
          <w:lang w:eastAsia="en-US"/>
        </w:rPr>
        <w:t xml:space="preserve">департаменте</w:t>
      </w:r>
      <w:r>
        <w:rPr>
          <w:rFonts w:eastAsia="Calibri"/>
          <w:b w:val="false"/>
          <w:bCs w:val="false"/>
          <w:lang w:eastAsia="en-US"/>
        </w:rPr>
        <w:t xml:space="preserve">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6. Персональные данные следует получать лично у субъекта персональных данных, если иное не предусмотрено федеральным законом.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7. </w:t>
      </w:r>
      <w:r>
        <w:rPr>
          <w:rFonts w:eastAsia="Calibri"/>
          <w:b w:val="false"/>
          <w:bCs w:val="false"/>
          <w:lang w:eastAsia="en-US"/>
        </w:rPr>
        <w:t xml:space="preserve">Директор департамента </w:t>
      </w:r>
      <w:r>
        <w:rPr>
          <w:rFonts w:eastAsia="Calibri"/>
          <w:b w:val="false"/>
          <w:bCs w:val="false"/>
          <w:lang w:eastAsia="en-US"/>
        </w:rPr>
        <w:t xml:space="preserve">назначает должностное лицо, ответственное за организацию обработки персональных данных в </w:t>
      </w:r>
      <w:r>
        <w:rPr>
          <w:rFonts w:eastAsia="Calibri"/>
          <w:b w:val="false"/>
          <w:bCs w:val="false"/>
          <w:lang w:eastAsia="en-US"/>
        </w:rPr>
        <w:t xml:space="preserve">департаменте</w:t>
      </w:r>
      <w:r>
        <w:rPr>
          <w:rFonts w:eastAsia="Calibri"/>
          <w:b w:val="false"/>
          <w:bCs w:val="false"/>
          <w:lang w:eastAsia="en-US"/>
        </w:rPr>
        <w:t xml:space="preserve">, и определяет лиц, уполномоченных на о</w:t>
      </w:r>
      <w:r>
        <w:rPr>
          <w:rFonts w:eastAsia="Calibri"/>
          <w:b w:val="false"/>
          <w:bCs w:val="false"/>
          <w:lang w:eastAsia="en-US"/>
        </w:rPr>
        <w:t xml:space="preserve">бработку персональных данных, обеспечивающих обработку персональных данных в соответствии с требованиями законодательства и несущих ответственность в соответствии с законодательством Российской Федерации за нарушение режима защиты этих персональных данных.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8. Обработка персональных данных осуществляется с согласия субъекта персональных данных, если иное не предусмотрено федеральным</w:t>
      </w:r>
      <w:r>
        <w:rPr>
          <w:rFonts w:eastAsia="Calibri"/>
          <w:b w:val="false"/>
          <w:bCs w:val="false"/>
          <w:lang w:eastAsia="en-US"/>
        </w:rPr>
        <w:t xml:space="preserve"> законом.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субъекта персональных данных на обработку его персональных данных должно отв</w:t>
      </w:r>
      <w:r>
        <w:rPr>
          <w:rFonts w:eastAsia="Calibri"/>
          <w:b w:val="false"/>
          <w:bCs w:val="false"/>
          <w:lang w:eastAsia="en-US"/>
        </w:rPr>
        <w:t xml:space="preserve">ечать требованиям, определенным статьей 9 </w:t>
      </w:r>
      <w:r>
        <w:rPr>
          <w:rFonts w:eastAsia="Calibri"/>
          <w:b w:val="false"/>
          <w:bCs w:val="false"/>
          <w:lang w:eastAsia="en-US"/>
        </w:rPr>
        <w:t xml:space="preserve">Федерального закона </w:t>
      </w:r>
      <w:r>
        <w:rPr>
          <w:rFonts w:eastAsia="Calibri"/>
          <w:b w:val="false"/>
          <w:bCs w:val="false"/>
          <w:lang w:eastAsia="en-US"/>
        </w:rPr>
        <w:t xml:space="preserve">«О персональных данных»</w:t>
      </w:r>
      <w:r>
        <w:rPr>
          <w:rFonts w:eastAsia="Calibri"/>
          <w:b w:val="false"/>
          <w:bCs w:val="false"/>
          <w:lang w:eastAsia="en-US"/>
        </w:rPr>
        <w:t xml:space="preserve">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9. Обработка персональных данных допускается в следующих случаях: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необходима для достижения целей, предусмотренных законом для осуществления и </w:t>
      </w:r>
      <w:r>
        <w:rPr>
          <w:rFonts w:eastAsia="Calibri"/>
          <w:b w:val="false"/>
          <w:bCs w:val="false"/>
          <w:lang w:eastAsia="en-US"/>
        </w:rPr>
        <w:t xml:space="preserve">выполнения</w:t>
      </w:r>
      <w:r>
        <w:rPr>
          <w:rFonts w:eastAsia="Calibri"/>
          <w:b w:val="false"/>
          <w:bCs w:val="false"/>
          <w:lang w:eastAsia="en-US"/>
        </w:rPr>
        <w:t xml:space="preserve"> возложенных законодательством Российской</w:t>
      </w:r>
      <w:r>
        <w:rPr>
          <w:rFonts w:eastAsia="Calibri"/>
          <w:b w:val="false"/>
          <w:bCs w:val="false"/>
          <w:lang w:eastAsia="en-US"/>
        </w:rPr>
        <w:t xml:space="preserve"> Федерации на оператора </w:t>
      </w:r>
      <w:r>
        <w:rPr>
          <w:rFonts w:eastAsia="Calibri"/>
          <w:b w:val="false"/>
          <w:bCs w:val="false"/>
          <w:lang w:eastAsia="en-US"/>
        </w:rPr>
        <w:t xml:space="preserve">функций, полномочий и обязанностей;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необходима для </w:t>
      </w:r>
      <w:r>
        <w:rPr>
          <w:rFonts w:eastAsia="Calibri"/>
          <w:b w:val="false"/>
          <w:bCs w:val="false"/>
          <w:lang w:eastAsia="en-US"/>
        </w:rPr>
        <w:t xml:space="preserve">исполнения </w:t>
      </w:r>
      <w:r>
        <w:rPr>
          <w:rFonts w:eastAsia="Calibri"/>
          <w:b w:val="false"/>
          <w:bCs w:val="false"/>
          <w:lang w:eastAsia="en-US"/>
        </w:rPr>
        <w:t xml:space="preserve">полномочий исполнительных органов государственной власти субъекта Российской Федерации, </w:t>
      </w:r>
      <w:r>
        <w:rPr>
          <w:rFonts w:eastAsia="Calibri"/>
          <w:b w:val="false"/>
          <w:bCs w:val="false"/>
          <w:lang w:eastAsia="en-US"/>
        </w:rPr>
        <w:t xml:space="preserve">участвующих в предоставлении соответственно государственных услуг, предусмотренных Федеральным законом </w:t>
        <w:br/>
        <w:t xml:space="preserve">от 27 июля 2010 года № 210-ФЗ «Об организации предоставления государственных и муниципальных услуг», включая регистрацию субъекта персонал</w:t>
      </w:r>
      <w:r>
        <w:rPr>
          <w:rFonts w:eastAsia="Calibri"/>
          <w:b w:val="false"/>
          <w:bCs w:val="false"/>
          <w:lang w:eastAsia="en-US"/>
        </w:rPr>
        <w:t xml:space="preserve">ьных данных на едином портале государственных и (или) региональных порталах государственных и муниципальных услуг;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необходима для исполнения договора, стороной которого либо выгодоприобр</w:t>
      </w:r>
      <w:r>
        <w:rPr>
          <w:rFonts w:eastAsia="Calibri"/>
          <w:b w:val="false"/>
          <w:bCs w:val="false"/>
          <w:lang w:eastAsia="en-US"/>
        </w:rPr>
        <w:t xml:space="preserve">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8</w:t>
      </w:r>
      <w:r>
        <w:rPr>
          <w:rFonts w:eastAsia="Calibri"/>
          <w:b w:val="false"/>
          <w:bCs w:val="false"/>
          <w:lang w:eastAsia="en-US"/>
        </w:rPr>
        <w:t xml:space="preserve">) </w:t>
      </w:r>
      <w:r>
        <w:rPr>
          <w:rFonts w:eastAsia="Calibri"/>
          <w:b w:val="false"/>
          <w:bCs w:val="false"/>
          <w:lang w:eastAsia="en-US"/>
        </w:rPr>
        <w:t xml:space="preserve">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управления, а также в иных целях, предусмотренных </w:t>
      </w:r>
      <w:r>
        <w:rPr>
          <w:rFonts w:eastAsia="Calibri"/>
          <w:b w:val="false"/>
          <w:bCs w:val="false"/>
          <w:lang w:eastAsia="en-US"/>
        </w:rPr>
        <w:t xml:space="preserve">Федеральным законом от 31 июля 2020 года № 258-ФЗ «Об экспериментальных правовых режимах в сфере цифровых инноваций в Российской Федерации», в порядке и на условиях, которы</w:t>
      </w:r>
      <w:r>
        <w:rPr>
          <w:rFonts w:eastAsia="Calibri"/>
          <w:b w:val="false"/>
          <w:bCs w:val="false"/>
          <w:lang w:eastAsia="en-US"/>
        </w:rPr>
        <w:t xml:space="preserve">е предусмотрены указанным федеральным законом</w:t>
      </w:r>
      <w:r>
        <w:rPr>
          <w:rFonts w:eastAsia="Calibri"/>
          <w:b w:val="false"/>
          <w:bCs w:val="false"/>
          <w:lang w:eastAsia="en-US"/>
        </w:rPr>
        <w:t xml:space="preserve">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9</w:t>
      </w:r>
      <w:r>
        <w:rPr>
          <w:rFonts w:eastAsia="Calibri"/>
          <w:b w:val="false"/>
          <w:bCs w:val="false"/>
          <w:lang w:eastAsia="en-US"/>
        </w:rPr>
        <w:t xml:space="preserve">)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10. Гражданин при поступлении на </w:t>
      </w:r>
      <w:r>
        <w:rPr>
          <w:rFonts w:eastAsia="Calibri"/>
          <w:b w:val="false"/>
          <w:bCs w:val="false"/>
          <w:lang w:eastAsia="en-US"/>
        </w:rPr>
        <w:t xml:space="preserve">государственную гражданскую</w:t>
      </w:r>
      <w:r>
        <w:rPr>
          <w:rFonts w:eastAsia="Calibri"/>
          <w:b w:val="false"/>
          <w:bCs w:val="false"/>
          <w:lang w:eastAsia="en-US"/>
        </w:rPr>
        <w:t xml:space="preserve"> службу, в случае если в его должностны</w:t>
      </w:r>
      <w:r>
        <w:rPr>
          <w:rFonts w:eastAsia="Calibri"/>
          <w:b w:val="false"/>
          <w:bCs w:val="false"/>
          <w:lang w:eastAsia="en-US"/>
        </w:rPr>
        <w:t xml:space="preserve">е</w:t>
      </w:r>
      <w:r>
        <w:rPr>
          <w:rFonts w:eastAsia="Calibri"/>
          <w:b w:val="false"/>
          <w:bCs w:val="false"/>
          <w:lang w:eastAsia="en-US"/>
        </w:rPr>
        <w:t xml:space="preserve"> обязанност</w:t>
      </w:r>
      <w:r>
        <w:rPr>
          <w:rFonts w:eastAsia="Calibri"/>
          <w:b w:val="false"/>
          <w:bCs w:val="false"/>
          <w:lang w:eastAsia="en-US"/>
        </w:rPr>
        <w:t xml:space="preserve">и</w:t>
      </w:r>
      <w:r>
        <w:rPr>
          <w:rFonts w:eastAsia="Calibri"/>
          <w:b w:val="false"/>
          <w:bCs w:val="false"/>
          <w:lang w:eastAsia="en-US"/>
        </w:rPr>
        <w:t xml:space="preserve"> будет входить непосредственное осуществление обработки персональных данных, должен ознакомиться с положениями законодательства Российской Федерации о персональных данных и заполнить форму листа ознакомления.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11. Должностное лицо</w:t>
      </w:r>
      <w:r>
        <w:rPr>
          <w:rFonts w:eastAsia="Calibri"/>
          <w:b w:val="false"/>
          <w:bCs w:val="false"/>
          <w:lang w:eastAsia="en-US"/>
        </w:rPr>
        <w:t xml:space="preserve">, в чьи должностные обязанности</w:t>
      </w:r>
      <w:r>
        <w:rPr>
          <w:rFonts w:eastAsia="Calibri"/>
          <w:b w:val="false"/>
          <w:bCs w:val="false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входит непосредственное осуществление обработки </w:t>
      </w:r>
      <w:r>
        <w:rPr>
          <w:rFonts w:eastAsia="Calibri"/>
          <w:b w:val="false"/>
          <w:bCs w:val="false"/>
          <w:lang w:eastAsia="en-US"/>
        </w:rPr>
        <w:t xml:space="preserve">персональных данных в </w:t>
      </w:r>
      <w:r>
        <w:rPr>
          <w:rFonts w:eastAsia="Calibri"/>
          <w:b w:val="false"/>
          <w:bCs w:val="false"/>
          <w:lang w:eastAsia="en-US"/>
        </w:rPr>
        <w:t xml:space="preserve">департаменте</w:t>
      </w:r>
      <w:r>
        <w:rPr>
          <w:rFonts w:eastAsia="Calibri"/>
          <w:b w:val="false"/>
          <w:bCs w:val="false"/>
          <w:lang w:eastAsia="en-US"/>
        </w:rPr>
        <w:t xml:space="preserve">, в случае расторжения с ним трудового договора обязуется прекратить обработку персональных данных, ставших известными ему в связи с исполнением должностных обязанностей, о чем подписывает соответствующее обязательство.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12. При сборе персональных данных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 </w:t>
      </w:r>
      <w:r>
        <w:rPr>
          <w:rFonts w:eastAsia="Calibri"/>
          <w:b w:val="false"/>
          <w:bCs w:val="false"/>
          <w:lang w:eastAsia="en-US"/>
        </w:rPr>
        <w:t xml:space="preserve">обязаны предоставить субъекту персональных данных по его прос</w:t>
      </w:r>
      <w:r>
        <w:rPr>
          <w:rFonts w:eastAsia="Calibri"/>
          <w:b w:val="false"/>
          <w:bCs w:val="false"/>
          <w:lang w:eastAsia="en-US"/>
        </w:rPr>
        <w:t xml:space="preserve">ьбе информацию, предусмотренную частью 7 статьи 14 </w:t>
      </w:r>
      <w:r>
        <w:rPr>
          <w:rFonts w:eastAsia="Calibri"/>
          <w:b w:val="false"/>
          <w:bCs w:val="false"/>
          <w:lang w:eastAsia="en-US"/>
        </w:rPr>
        <w:t xml:space="preserve">Федерально</w:t>
      </w:r>
      <w:r>
        <w:rPr>
          <w:rFonts w:eastAsia="Calibri"/>
          <w:b w:val="false"/>
          <w:bCs w:val="false"/>
          <w:lang w:eastAsia="en-US"/>
        </w:rPr>
        <w:t xml:space="preserve">го закона «О персональных данных»</w:t>
      </w:r>
      <w:r>
        <w:rPr>
          <w:rFonts w:eastAsia="Calibri"/>
          <w:b w:val="false"/>
          <w:bCs w:val="false"/>
          <w:lang w:eastAsia="en-US"/>
        </w:rPr>
        <w:t xml:space="preserve">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13. При обработке персональных данных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обязаны соблюдать следующие требования: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обработка персональных данных должна осуществляется</w:t>
      </w:r>
      <w:r>
        <w:rPr>
          <w:rFonts w:eastAsia="Calibri"/>
          <w:b w:val="false"/>
          <w:bCs w:val="false"/>
          <w:lang w:eastAsia="en-US"/>
        </w:rPr>
        <w:t xml:space="preserve"> в целях обеспечения соблюдения Конституции </w:t>
      </w:r>
      <w:r>
        <w:rPr>
          <w:rFonts w:eastAsia="Calibri"/>
          <w:b w:val="false"/>
          <w:bCs w:val="false"/>
          <w:lang w:eastAsia="en-US"/>
        </w:rPr>
        <w:t xml:space="preserve">Российской Федерации, федеральных законов и иных нормативных правовых актов Российской Федерации;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</w:t>
      </w:r>
      <w:r>
        <w:rPr>
          <w:rFonts w:eastAsia="Calibri"/>
          <w:b w:val="false"/>
          <w:bCs w:val="false"/>
          <w:lang w:eastAsia="en-US"/>
        </w:rPr>
        <w:t xml:space="preserve">) запрещается получать, обрабатывать и приобщать к личному делу субъекта персональных данных персональные данные, касающиеся расовой, </w:t>
      </w:r>
      <w:r>
        <w:rPr>
          <w:rFonts w:eastAsia="Calibri"/>
          <w:b w:val="false"/>
          <w:bCs w:val="false"/>
          <w:lang w:eastAsia="en-US"/>
        </w:rPr>
        <w:t xml:space="preserve">национальной принадлежности, политических взглядов, религиозных и иных убеждений, частной жизни, членстве в общественных объединениях, в том числе в профессиональных союзах субъекта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</w:t>
      </w:r>
      <w:r>
        <w:rPr>
          <w:rFonts w:eastAsia="Calibri"/>
          <w:b w:val="false"/>
          <w:bCs w:val="false"/>
          <w:lang w:eastAsia="en-US"/>
        </w:rPr>
        <w:t xml:space="preserve">) в случае выявления неполных, неточных или неактуальных персональны</w:t>
      </w:r>
      <w:r>
        <w:rPr>
          <w:rFonts w:eastAsia="Calibri"/>
          <w:b w:val="false"/>
          <w:bCs w:val="false"/>
          <w:lang w:eastAsia="en-US"/>
        </w:rPr>
        <w:t xml:space="preserve">х данных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обязаны внести в них необходимые изменения с уведомлением субъекта персональных данных или его представителя;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в случае представления субъектом персональных данных или его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обработки,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в срок, не превышающий семи рабочих дней со дня получения таких сведений, обязаны уничтожить такие персональные данные с уведомлением субъекта персональных данных или его представителя;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</w:t>
      </w:r>
      <w:r>
        <w:rPr>
          <w:rFonts w:eastAsia="Calibri"/>
          <w:b w:val="false"/>
          <w:bCs w:val="false"/>
          <w:lang w:eastAsia="en-US"/>
        </w:rPr>
        <w:t xml:space="preserve">) в случае выявления недостоверных персональных данных или неправомерных действий с ними должностных лиц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,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данных,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обязаны осуществить блокирование персональных данных, относящихся к соответствующему субъекту персональных данных, с момента такого обращения или получения такого запроса на</w:t>
      </w:r>
      <w:r>
        <w:rPr>
          <w:rFonts w:eastAsia="Calibri"/>
          <w:b w:val="false"/>
          <w:bCs w:val="false"/>
          <w:lang w:eastAsia="en-US"/>
        </w:rPr>
        <w:t xml:space="preserve"> период проверки;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</w:t>
      </w:r>
      <w:r>
        <w:rPr>
          <w:rFonts w:eastAsia="Calibri"/>
          <w:b w:val="false"/>
          <w:bCs w:val="false"/>
          <w:lang w:eastAsia="en-US"/>
        </w:rPr>
        <w:t xml:space="preserve">) в случае подтверждения факта недостоверности персональных данных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на основании д</w:t>
      </w:r>
      <w:r>
        <w:rPr>
          <w:rFonts w:eastAsia="Calibri"/>
          <w:b w:val="false"/>
          <w:bCs w:val="false"/>
          <w:lang w:eastAsia="en-US"/>
        </w:rPr>
        <w:t xml:space="preserve">окументов, представленных субъектом персональных данных, или его законным представителем либо уполномоченным органом по защите прав субъектов персональных данных, или иных необходимых документов обязаны уточнить персональные данные и снять их блокирование;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</w:t>
      </w:r>
      <w:r>
        <w:rPr>
          <w:rFonts w:eastAsia="Calibri"/>
          <w:b w:val="false"/>
          <w:bCs w:val="false"/>
          <w:lang w:eastAsia="en-US"/>
        </w:rPr>
        <w:t xml:space="preserve">) в случае выявления неправомерных </w:t>
      </w:r>
      <w:r>
        <w:rPr>
          <w:rFonts w:eastAsia="Calibri"/>
          <w:b w:val="false"/>
          <w:bCs w:val="false"/>
          <w:lang w:eastAsia="en-US"/>
        </w:rPr>
        <w:t xml:space="preserve">действий</w:t>
      </w:r>
      <w:r>
        <w:rPr>
          <w:rFonts w:eastAsia="Calibri"/>
          <w:b w:val="false"/>
          <w:bCs w:val="false"/>
          <w:lang w:eastAsia="en-US"/>
        </w:rPr>
        <w:t xml:space="preserve"> с персональными данными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в срок, не превышающий трех рабочих дней с даты такого выявления, обязаны устранить допущенные нарушения. В случае невозможности устранения допущенных </w:t>
      </w:r>
      <w:r>
        <w:rPr>
          <w:rFonts w:eastAsia="Calibri"/>
          <w:b w:val="false"/>
          <w:bCs w:val="false"/>
          <w:lang w:eastAsia="en-US"/>
        </w:rPr>
        <w:t xml:space="preserve">нарушений</w:t>
      </w:r>
      <w:r>
        <w:rPr>
          <w:rFonts w:eastAsia="Calibri"/>
          <w:b w:val="false"/>
          <w:bCs w:val="false"/>
          <w:lang w:eastAsia="en-US"/>
        </w:rPr>
        <w:t xml:space="preserve">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в срок, не превышающий десяти рабочих дней с даты выявления неправомерности действий с персональными данными, обязаны уничтожить персональные данные. Об устранении допущенных нарушений или об уничтожении персональных данных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обязаны уведомить субъект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также указанный орган;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8</w:t>
      </w:r>
      <w:r>
        <w:rPr>
          <w:rFonts w:eastAsia="Calibri"/>
          <w:b w:val="false"/>
          <w:bCs w:val="false"/>
          <w:lang w:eastAsia="en-US"/>
        </w:rPr>
        <w:t xml:space="preserve">) в случае отзыва субъектом персональных данных согласия на обработку его персональных данных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обязаны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</w:t>
      </w:r>
      <w:r>
        <w:rPr>
          <w:rFonts w:eastAsia="Calibri"/>
          <w:b w:val="false"/>
          <w:bCs w:val="false"/>
          <w:lang w:eastAsia="en-US"/>
        </w:rPr>
        <w:t xml:space="preserve">с даты поступления</w:t>
      </w:r>
      <w:r>
        <w:rPr>
          <w:rFonts w:eastAsia="Calibri"/>
          <w:b w:val="false"/>
          <w:bCs w:val="false"/>
          <w:lang w:eastAsia="en-US"/>
        </w:rPr>
        <w:t xml:space="preserve"> указанного отзыва;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9</w:t>
      </w:r>
      <w:r>
        <w:rPr>
          <w:rFonts w:eastAsia="Calibri"/>
          <w:b w:val="false"/>
          <w:bCs w:val="false"/>
          <w:lang w:eastAsia="en-US"/>
        </w:rPr>
        <w:t xml:space="preserve">) хранение персональных данных должно осуществляться в форме, </w:t>
      </w:r>
      <w:r>
        <w:rPr>
          <w:rFonts w:eastAsia="Calibri"/>
          <w:b w:val="false"/>
          <w:bCs w:val="false"/>
          <w:lang w:eastAsia="en-US"/>
        </w:rPr>
        <w:t xml:space="preserve">позволяющей определить субъект персональных данных, сроком не больше, чем этого требуют цели их обработки, а также они подлежат уничтожению по достижении целей обработки или в случае утраты необходимости в их достижении.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14. При передаче персональных данных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должны соблюдать следующие требования: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не сообщать персональные данные третьей стороне без письменного согласия субъекта персональных данных, за исключением случаев, установленных федеральными законами;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</w:t>
      </w:r>
      <w:r>
        <w:rPr>
          <w:rFonts w:eastAsia="Calibri"/>
          <w:b w:val="false"/>
          <w:bCs w:val="false"/>
          <w:lang w:eastAsia="en-US"/>
        </w:rPr>
        <w:t xml:space="preserve">) разрешать доступ к персональным </w:t>
      </w:r>
      <w:r>
        <w:rPr>
          <w:rFonts w:eastAsia="Calibri"/>
          <w:b w:val="false"/>
          <w:bCs w:val="false"/>
          <w:lang w:eastAsia="en-US"/>
        </w:rPr>
        <w:t xml:space="preserve">данным</w:t>
      </w:r>
      <w:r>
        <w:rPr>
          <w:rFonts w:eastAsia="Calibri"/>
          <w:b w:val="false"/>
          <w:bCs w:val="false"/>
          <w:lang w:eastAsia="en-US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15. </w:t>
      </w:r>
      <w:r>
        <w:rPr>
          <w:rFonts w:eastAsia="Calibri"/>
          <w:b w:val="false"/>
          <w:bCs w:val="false"/>
          <w:lang w:eastAsia="en-US"/>
        </w:rPr>
        <w:t xml:space="preserve">В соответствии со статьей 43 </w:t>
      </w:r>
      <w:r>
        <w:rPr>
          <w:rFonts w:eastAsia="Calibri"/>
          <w:b w:val="false"/>
          <w:bCs w:val="false"/>
          <w:lang w:eastAsia="en-US"/>
        </w:rPr>
        <w:t xml:space="preserve">Федерального закона от 2</w:t>
      </w:r>
      <w:r>
        <w:rPr>
          <w:rFonts w:eastAsia="Calibri"/>
          <w:b w:val="false"/>
          <w:bCs w:val="false"/>
          <w:lang w:eastAsia="en-US"/>
        </w:rPr>
        <w:t xml:space="preserve">7</w:t>
      </w:r>
      <w:r>
        <w:rPr>
          <w:rFonts w:eastAsia="Calibri"/>
          <w:b w:val="false"/>
          <w:bCs w:val="false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июля</w:t>
      </w:r>
      <w:r>
        <w:rPr>
          <w:rFonts w:eastAsia="Calibri"/>
          <w:b w:val="false"/>
          <w:bCs w:val="false"/>
          <w:lang w:eastAsia="en-US"/>
        </w:rPr>
        <w:t xml:space="preserve"> 200</w:t>
      </w: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 года </w:t>
      </w:r>
      <w:r>
        <w:rPr>
          <w:rFonts w:eastAsia="Calibri"/>
          <w:b w:val="false"/>
          <w:bCs w:val="false"/>
          <w:lang w:eastAsia="en-US"/>
        </w:rPr>
        <w:t xml:space="preserve">№</w:t>
      </w:r>
      <w:r>
        <w:rPr>
          <w:rFonts w:eastAsia="Calibri"/>
          <w:b w:val="false"/>
          <w:bCs w:val="false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79-ФЗ «</w:t>
      </w:r>
      <w:r>
        <w:rPr>
          <w:rFonts w:eastAsia="Calibri"/>
          <w:b w:val="false"/>
          <w:bCs w:val="false"/>
          <w:lang w:eastAsia="en-US"/>
        </w:rPr>
        <w:t xml:space="preserve">О </w:t>
      </w:r>
      <w:r>
        <w:rPr>
          <w:rFonts w:eastAsia="Calibri"/>
          <w:b w:val="false"/>
          <w:bCs w:val="false"/>
          <w:lang w:eastAsia="en-US"/>
        </w:rPr>
        <w:t xml:space="preserve">государственной гражданской службе Российской Федерации», п</w:t>
      </w:r>
      <w:r>
        <w:rPr>
          <w:rFonts w:eastAsia="Calibri"/>
          <w:b w:val="false"/>
          <w:bCs w:val="false"/>
          <w:lang w:eastAsia="en-US"/>
        </w:rPr>
        <w:t xml:space="preserve">остановление</w:t>
      </w:r>
      <w:r>
        <w:rPr>
          <w:rFonts w:eastAsia="Calibri"/>
          <w:b w:val="false"/>
          <w:bCs w:val="false"/>
          <w:lang w:eastAsia="en-US"/>
        </w:rPr>
        <w:t xml:space="preserve">м</w:t>
      </w:r>
      <w:r>
        <w:rPr>
          <w:rFonts w:eastAsia="Calibri"/>
          <w:b w:val="false"/>
          <w:bCs w:val="false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г</w:t>
      </w:r>
      <w:r>
        <w:rPr>
          <w:rFonts w:eastAsia="Calibri"/>
          <w:b w:val="false"/>
          <w:bCs w:val="false"/>
          <w:lang w:eastAsia="en-US"/>
        </w:rPr>
        <w:t xml:space="preserve">убернатора Костромской области от 29.01.2008 </w:t>
      </w:r>
      <w:r>
        <w:rPr>
          <w:rFonts w:eastAsia="Calibri"/>
          <w:b w:val="false"/>
          <w:bCs w:val="false"/>
          <w:lang w:eastAsia="en-US"/>
        </w:rPr>
        <w:t xml:space="preserve">№ 23 «</w:t>
      </w:r>
      <w:r>
        <w:rPr>
          <w:rFonts w:eastAsia="Calibri"/>
          <w:b w:val="false"/>
          <w:bCs w:val="false"/>
          <w:lang w:eastAsia="en-US"/>
        </w:rPr>
        <w:t xml:space="preserve">Об утверждении Положения о порядке ведения реестра государственных гражданск</w:t>
      </w:r>
      <w:r>
        <w:rPr>
          <w:rFonts w:eastAsia="Calibri"/>
          <w:b w:val="false"/>
          <w:bCs w:val="false"/>
          <w:lang w:eastAsia="en-US"/>
        </w:rPr>
        <w:t xml:space="preserve">их служащих Костромской области»,</w:t>
      </w:r>
      <w:r>
        <w:rPr>
          <w:rFonts w:eastAsia="Calibri"/>
          <w:b w:val="false"/>
          <w:bCs w:val="false"/>
          <w:lang w:eastAsia="en-US"/>
        </w:rPr>
        <w:t xml:space="preserve"> на основе персональных данных </w:t>
      </w:r>
      <w:r>
        <w:rPr>
          <w:rFonts w:eastAsia="Calibri"/>
          <w:b w:val="false"/>
          <w:bCs w:val="false"/>
          <w:lang w:eastAsia="en-US"/>
        </w:rPr>
        <w:t xml:space="preserve">государственных гражданских служащих</w:t>
      </w:r>
      <w:r>
        <w:rPr>
          <w:rFonts w:eastAsia="Calibri"/>
          <w:b w:val="false"/>
          <w:bCs w:val="false"/>
          <w:lang w:eastAsia="en-US"/>
        </w:rPr>
        <w:t xml:space="preserve"> в </w:t>
      </w:r>
      <w:r>
        <w:rPr>
          <w:rFonts w:eastAsia="Calibri"/>
          <w:b w:val="false"/>
          <w:bCs w:val="false"/>
          <w:lang w:eastAsia="en-US"/>
        </w:rPr>
        <w:t xml:space="preserve">департаменте</w:t>
      </w:r>
      <w:r>
        <w:rPr>
          <w:rFonts w:eastAsia="Calibri"/>
          <w:b w:val="false"/>
          <w:bCs w:val="false"/>
          <w:lang w:eastAsia="en-US"/>
        </w:rPr>
        <w:t xml:space="preserve"> формируется и ведется, в том числе на электронных носителях, реестр </w:t>
      </w:r>
      <w:r>
        <w:rPr>
          <w:rFonts w:eastAsia="Calibri"/>
          <w:b w:val="false"/>
          <w:bCs w:val="false"/>
          <w:lang w:eastAsia="en-US"/>
        </w:rPr>
        <w:t xml:space="preserve">государственных гражданских служащих</w:t>
      </w:r>
      <w:r>
        <w:rPr>
          <w:rFonts w:eastAsia="Calibri"/>
          <w:b w:val="false"/>
          <w:bCs w:val="false"/>
          <w:lang w:eastAsia="en-US"/>
        </w:rPr>
        <w:t xml:space="preserve"> департамента</w:t>
      </w:r>
      <w:r>
        <w:rPr>
          <w:rFonts w:eastAsia="Calibri"/>
          <w:b w:val="false"/>
          <w:bCs w:val="false"/>
          <w:lang w:eastAsia="en-US"/>
        </w:rPr>
        <w:t xml:space="preserve">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16. Сроки обработки и хранения персональных данных, порядок их уничтожения при достижении целей обработки или при наступлении иных законных оснований определяются нормами законодательства Российской Федерации в сфере </w:t>
      </w:r>
      <w:r>
        <w:rPr>
          <w:rFonts w:eastAsia="Calibri"/>
          <w:b w:val="false"/>
          <w:bCs w:val="false"/>
          <w:lang w:eastAsia="en-US"/>
        </w:rPr>
        <w:t xml:space="preserve">государственной гражданской</w:t>
      </w:r>
      <w:r>
        <w:rPr>
          <w:rFonts w:eastAsia="Calibri"/>
          <w:b w:val="false"/>
          <w:bCs w:val="false"/>
          <w:lang w:eastAsia="en-US"/>
        </w:rPr>
        <w:t xml:space="preserve"> службы, трудового законодательства, законодательства об архивном деле.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17. Запрещается принятие на основании исключительно а</w:t>
      </w:r>
      <w:r>
        <w:rPr>
          <w:rFonts w:eastAsia="Calibri"/>
          <w:b w:val="false"/>
          <w:bCs w:val="false"/>
          <w:lang w:eastAsia="en-US"/>
        </w:rPr>
        <w:t xml:space="preserve">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 законом.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18. Субъект персональных данных имеет право на получение сведений, указанных в </w:t>
      </w:r>
      <w:r>
        <w:rPr>
          <w:rFonts w:eastAsia="Calibri"/>
          <w:b w:val="false"/>
          <w:bCs w:val="false"/>
          <w:lang w:eastAsia="en-US"/>
        </w:rPr>
        <w:t xml:space="preserve">статье 14 </w:t>
      </w:r>
      <w:r>
        <w:rPr>
          <w:rFonts w:eastAsia="Calibri"/>
          <w:b w:val="false"/>
          <w:bCs w:val="false"/>
          <w:lang w:eastAsia="en-US"/>
        </w:rPr>
        <w:t xml:space="preserve">Федерального закона от 27 июля 2006 года </w:t>
      </w:r>
      <w:r>
        <w:rPr>
          <w:rFonts w:eastAsia="Calibri"/>
          <w:b w:val="false"/>
          <w:bCs w:val="false"/>
          <w:lang w:eastAsia="en-US"/>
        </w:rPr>
        <w:t xml:space="preserve">№ 152-ФЗ «</w:t>
      </w:r>
      <w:r>
        <w:rPr>
          <w:rFonts w:eastAsia="Calibri"/>
          <w:b w:val="false"/>
          <w:bCs w:val="false"/>
          <w:lang w:eastAsia="en-US"/>
        </w:rPr>
        <w:t xml:space="preserve">О </w:t>
      </w:r>
      <w:r>
        <w:rPr>
          <w:rFonts w:eastAsia="Calibri"/>
          <w:b w:val="false"/>
          <w:bCs w:val="false"/>
          <w:lang w:eastAsia="en-US"/>
        </w:rPr>
        <w:t xml:space="preserve">персональных данных»</w:t>
      </w:r>
      <w:r>
        <w:rPr>
          <w:rFonts w:eastAsia="Calibri"/>
          <w:b w:val="false"/>
          <w:bCs w:val="false"/>
          <w:lang w:eastAsia="en-US"/>
        </w:rPr>
        <w:t xml:space="preserve">. Сведения предоставляются субъекту персональных данных или его представителю </w:t>
      </w:r>
      <w:r>
        <w:rPr>
          <w:rFonts w:eastAsia="Calibri"/>
          <w:b w:val="false"/>
          <w:bCs w:val="false"/>
          <w:lang w:eastAsia="en-US"/>
        </w:rPr>
        <w:t xml:space="preserve">уполномоченными лицами департамента</w:t>
      </w:r>
      <w:r>
        <w:rPr>
          <w:rFonts w:eastAsia="Calibri"/>
          <w:b w:val="false"/>
          <w:bCs w:val="false"/>
          <w:lang w:eastAsia="en-US"/>
        </w:rPr>
        <w:t xml:space="preserve"> при обращении либо при получении запроса субъекта персональных данных или его представителя в тридцатидневный срок.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19. Субъект персональных данных вправе требовать от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 уточнения его персональных данных, их блокирова</w:t>
      </w:r>
      <w:r>
        <w:rPr>
          <w:rFonts w:eastAsia="Calibri"/>
          <w:b w:val="false"/>
          <w:bCs w:val="false"/>
          <w:lang w:eastAsia="en-US"/>
        </w:rPr>
        <w:t xml:space="preserve">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вправе принимать предусмотренные законом меры по защите своих прав.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20. Меры, принимаемые в </w:t>
      </w:r>
      <w:r>
        <w:rPr>
          <w:rFonts w:eastAsia="Calibri"/>
          <w:b w:val="false"/>
          <w:bCs w:val="false"/>
          <w:lang w:eastAsia="en-US"/>
        </w:rPr>
        <w:t xml:space="preserve">департаменте</w:t>
      </w:r>
      <w:r>
        <w:rPr>
          <w:rFonts w:eastAsia="Calibri"/>
          <w:b w:val="false"/>
          <w:bCs w:val="false"/>
          <w:lang w:eastAsia="en-US"/>
        </w:rPr>
        <w:t xml:space="preserve">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определение угроз безопасности персональных данных при их обработке в информационных системах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</w:t>
      </w:r>
      <w:r>
        <w:rPr>
          <w:rFonts w:eastAsia="Calibri"/>
          <w:b w:val="false"/>
          <w:bCs w:val="false"/>
          <w:lang w:eastAsia="en-US"/>
        </w:rPr>
        <w:t xml:space="preserve">) применение организационных и технических мер по обеспечению безопасности персональных данны</w:t>
      </w:r>
      <w:r>
        <w:rPr>
          <w:rFonts w:eastAsia="Calibri"/>
          <w:b w:val="false"/>
          <w:bCs w:val="false"/>
          <w:lang w:eastAsia="en-US"/>
        </w:rPr>
        <w:t xml:space="preserve">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</w:t>
      </w:r>
      <w:r>
        <w:rPr>
          <w:rFonts w:eastAsia="Calibri"/>
          <w:b w:val="false"/>
          <w:bCs w:val="false"/>
          <w:lang w:eastAsia="en-US"/>
        </w:rPr>
        <w:t xml:space="preserve">) применение прошедших в установленном порядке процедуру оценки соответствия средств защиты информации;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</w:t>
      </w:r>
      <w:r>
        <w:rPr>
          <w:rFonts w:eastAsia="Calibri"/>
          <w:b w:val="false"/>
          <w:bCs w:val="false"/>
          <w:lang w:eastAsia="en-US"/>
        </w:rPr>
        <w:t xml:space="preserve">) учет машинных носителей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</w:t>
      </w:r>
      <w:r>
        <w:rPr>
          <w:rFonts w:eastAsia="Calibri"/>
          <w:b w:val="false"/>
          <w:bCs w:val="false"/>
          <w:lang w:eastAsia="en-US"/>
        </w:rPr>
        <w:t xml:space="preserve">) обнаружение фактов несанкционированного доступа к</w:t>
      </w:r>
      <w:r>
        <w:rPr>
          <w:rFonts w:eastAsia="Calibri"/>
          <w:b w:val="false"/>
          <w:bCs w:val="false"/>
          <w:lang w:eastAsia="en-US"/>
        </w:rPr>
        <w:t xml:space="preserve"> персональным данным и принятие соответствующих</w:t>
      </w:r>
      <w:r>
        <w:rPr>
          <w:rFonts w:eastAsia="Calibri"/>
          <w:b w:val="false"/>
          <w:bCs w:val="false"/>
          <w:lang w:eastAsia="en-US"/>
        </w:rPr>
        <w:t xml:space="preserve"> мер;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</w:t>
      </w:r>
      <w:r>
        <w:rPr>
          <w:rFonts w:eastAsia="Calibri"/>
          <w:b w:val="false"/>
          <w:bCs w:val="false"/>
          <w:lang w:eastAsia="en-US"/>
        </w:rPr>
        <w:t xml:space="preserve">) восстановление персональных данных, модифицированных или уничтоженных вследствие несанкционированного доступа к ним;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8</w:t>
      </w:r>
      <w:r>
        <w:rPr>
          <w:rFonts w:eastAsia="Calibri"/>
          <w:b w:val="false"/>
          <w:bCs w:val="false"/>
          <w:lang w:eastAsia="en-US"/>
        </w:rPr>
        <w:t xml:space="preserve">)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9</w:t>
      </w:r>
      <w:r>
        <w:rPr>
          <w:rFonts w:eastAsia="Calibri"/>
          <w:b w:val="false"/>
          <w:bCs w:val="false"/>
          <w:lang w:eastAsia="en-US"/>
        </w:rPr>
        <w:t xml:space="preserve">) </w:t>
      </w:r>
      <w:r>
        <w:rPr>
          <w:rFonts w:eastAsia="Calibri"/>
          <w:b w:val="false"/>
          <w:bCs w:val="false"/>
          <w:lang w:eastAsia="en-US"/>
        </w:rPr>
        <w:t xml:space="preserve">контроль за</w:t>
      </w:r>
      <w:r>
        <w:rPr>
          <w:rFonts w:eastAsia="Calibri"/>
          <w:b w:val="false"/>
          <w:bCs w:val="false"/>
          <w:lang w:eastAsia="en-US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21. Уполномоченные должностные лица </w:t>
      </w:r>
      <w:r>
        <w:rPr>
          <w:rFonts w:eastAsia="Calibri"/>
          <w:b w:val="false"/>
          <w:bCs w:val="false"/>
          <w:lang w:eastAsia="en-US"/>
        </w:rPr>
        <w:t xml:space="preserve">департамента</w:t>
      </w:r>
      <w:r>
        <w:rPr>
          <w:rFonts w:eastAsia="Calibri"/>
          <w:b w:val="false"/>
          <w:bCs w:val="false"/>
          <w:lang w:eastAsia="en-US"/>
        </w:rPr>
        <w:t xml:space="preserve">, в соответствии со своими полномочиями в</w:t>
      </w:r>
      <w:r>
        <w:rPr>
          <w:rFonts w:eastAsia="Calibri"/>
          <w:b w:val="false"/>
          <w:bCs w:val="false"/>
          <w:lang w:eastAsia="en-US"/>
        </w:rPr>
        <w:t xml:space="preserve">ладеющие информацией о субъектах персональных данных, получающие и использующие ее, несут ответственность в соответствии с законодательством Российской Федерации за нарушение режима защиты, обработки, использования, хранения и передачи персональных данных.</w:t>
      </w:r>
      <w:r/>
    </w:p>
    <w:p>
      <w:pPr>
        <w:ind w:firstLine="851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22. 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</w:t>
      </w:r>
      <w:r>
        <w:rPr>
          <w:rFonts w:eastAsia="Calibri"/>
          <w:b w:val="false"/>
          <w:bCs w:val="false"/>
          <w:lang w:eastAsia="en-US"/>
        </w:rPr>
        <w:t xml:space="preserve">законодательством Российской Федерации</w:t>
      </w:r>
      <w:r>
        <w:rPr>
          <w:rFonts w:eastAsia="Calibri"/>
          <w:b w:val="false"/>
          <w:bCs w:val="false"/>
          <w:lang w:eastAsia="en-US"/>
        </w:rPr>
        <w:t xml:space="preserve">.</w:t>
      </w:r>
      <w:r>
        <w:rPr>
          <w:b w:val="false"/>
          <w:bCs w:val="false"/>
          <w:color w:val="000000"/>
        </w:rPr>
      </w:r>
      <w:bookmarkStart w:id="0" w:name="_GoBack"/>
      <w:r/>
      <w:bookmarkEnd w:id="0"/>
      <w:r>
        <w:rPr>
          <w:b w:val="false"/>
          <w:bCs w:val="false"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0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06">
    <w:name w:val="endnote text"/>
    <w:basedOn w:val="676"/>
    <w:link w:val="507"/>
    <w:uiPriority w:val="99"/>
    <w:semiHidden/>
    <w:unhideWhenUsed/>
    <w:rPr>
      <w:sz w:val="20"/>
    </w:rPr>
    <w:pPr>
      <w:spacing w:lineRule="auto" w:line="240" w:after="0"/>
    </w:pPr>
  </w:style>
  <w:style w:type="character" w:styleId="507">
    <w:name w:val="Endnote Text Char"/>
    <w:link w:val="506"/>
    <w:uiPriority w:val="99"/>
    <w:rPr>
      <w:sz w:val="20"/>
    </w:rPr>
  </w:style>
  <w:style w:type="character" w:styleId="508">
    <w:name w:val="endnote reference"/>
    <w:basedOn w:val="679"/>
    <w:uiPriority w:val="99"/>
    <w:semiHidden/>
    <w:unhideWhenUsed/>
    <w:rPr>
      <w:vertAlign w:val="superscript"/>
    </w:rPr>
  </w:style>
  <w:style w:type="character" w:styleId="509">
    <w:name w:val="Heading 1 Char"/>
    <w:basedOn w:val="679"/>
    <w:link w:val="677"/>
    <w:uiPriority w:val="9"/>
    <w:rPr>
      <w:rFonts w:ascii="Arial" w:hAnsi="Arial" w:cs="Arial" w:eastAsia="Arial"/>
      <w:sz w:val="40"/>
      <w:szCs w:val="40"/>
    </w:rPr>
  </w:style>
  <w:style w:type="paragraph" w:styleId="510">
    <w:name w:val="Heading 2"/>
    <w:basedOn w:val="676"/>
    <w:next w:val="676"/>
    <w:link w:val="5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1">
    <w:name w:val="Heading 2 Char"/>
    <w:basedOn w:val="679"/>
    <w:link w:val="510"/>
    <w:uiPriority w:val="9"/>
    <w:rPr>
      <w:rFonts w:ascii="Arial" w:hAnsi="Arial" w:cs="Arial" w:eastAsia="Arial"/>
      <w:sz w:val="34"/>
    </w:rPr>
  </w:style>
  <w:style w:type="paragraph" w:styleId="512">
    <w:name w:val="Heading 3"/>
    <w:basedOn w:val="676"/>
    <w:next w:val="676"/>
    <w:link w:val="5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3">
    <w:name w:val="Heading 3 Char"/>
    <w:basedOn w:val="679"/>
    <w:link w:val="512"/>
    <w:uiPriority w:val="9"/>
    <w:rPr>
      <w:rFonts w:ascii="Arial" w:hAnsi="Arial" w:cs="Arial" w:eastAsia="Arial"/>
      <w:sz w:val="30"/>
      <w:szCs w:val="30"/>
    </w:rPr>
  </w:style>
  <w:style w:type="character" w:styleId="514">
    <w:name w:val="Heading 4 Char"/>
    <w:basedOn w:val="67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515">
    <w:name w:val="Heading 5"/>
    <w:basedOn w:val="676"/>
    <w:next w:val="676"/>
    <w:link w:val="5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6">
    <w:name w:val="Heading 5 Char"/>
    <w:basedOn w:val="679"/>
    <w:link w:val="515"/>
    <w:uiPriority w:val="9"/>
    <w:rPr>
      <w:rFonts w:ascii="Arial" w:hAnsi="Arial" w:cs="Arial" w:eastAsia="Arial"/>
      <w:b/>
      <w:bCs/>
      <w:sz w:val="24"/>
      <w:szCs w:val="24"/>
    </w:rPr>
  </w:style>
  <w:style w:type="paragraph" w:styleId="517">
    <w:name w:val="Heading 6"/>
    <w:basedOn w:val="676"/>
    <w:next w:val="676"/>
    <w:link w:val="51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8">
    <w:name w:val="Heading 6 Char"/>
    <w:basedOn w:val="679"/>
    <w:link w:val="517"/>
    <w:uiPriority w:val="9"/>
    <w:rPr>
      <w:rFonts w:ascii="Arial" w:hAnsi="Arial" w:cs="Arial" w:eastAsia="Arial"/>
      <w:b/>
      <w:bCs/>
      <w:sz w:val="22"/>
      <w:szCs w:val="22"/>
    </w:rPr>
  </w:style>
  <w:style w:type="paragraph" w:styleId="519">
    <w:name w:val="Heading 7"/>
    <w:basedOn w:val="676"/>
    <w:next w:val="676"/>
    <w:link w:val="5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0">
    <w:name w:val="Heading 7 Char"/>
    <w:basedOn w:val="679"/>
    <w:link w:val="5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1">
    <w:name w:val="Heading 8"/>
    <w:basedOn w:val="676"/>
    <w:next w:val="676"/>
    <w:link w:val="52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22">
    <w:name w:val="Heading 8 Char"/>
    <w:basedOn w:val="679"/>
    <w:link w:val="521"/>
    <w:uiPriority w:val="9"/>
    <w:rPr>
      <w:rFonts w:ascii="Arial" w:hAnsi="Arial" w:cs="Arial" w:eastAsia="Arial"/>
      <w:i/>
      <w:iCs/>
      <w:sz w:val="22"/>
      <w:szCs w:val="22"/>
    </w:rPr>
  </w:style>
  <w:style w:type="paragraph" w:styleId="523">
    <w:name w:val="Heading 9"/>
    <w:basedOn w:val="676"/>
    <w:next w:val="676"/>
    <w:link w:val="5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4">
    <w:name w:val="Heading 9 Char"/>
    <w:basedOn w:val="679"/>
    <w:link w:val="523"/>
    <w:uiPriority w:val="9"/>
    <w:rPr>
      <w:rFonts w:ascii="Arial" w:hAnsi="Arial" w:cs="Arial" w:eastAsia="Arial"/>
      <w:i/>
      <w:iCs/>
      <w:sz w:val="21"/>
      <w:szCs w:val="21"/>
    </w:rPr>
  </w:style>
  <w:style w:type="paragraph" w:styleId="525">
    <w:name w:val="No Spacing"/>
    <w:qFormat/>
    <w:uiPriority w:val="1"/>
    <w:pPr>
      <w:spacing w:lineRule="auto" w:line="240" w:after="0" w:before="0"/>
    </w:pPr>
  </w:style>
  <w:style w:type="paragraph" w:styleId="526">
    <w:name w:val="Title"/>
    <w:basedOn w:val="676"/>
    <w:next w:val="676"/>
    <w:link w:val="52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7">
    <w:name w:val="Title Char"/>
    <w:basedOn w:val="679"/>
    <w:link w:val="526"/>
    <w:uiPriority w:val="10"/>
    <w:rPr>
      <w:sz w:val="48"/>
      <w:szCs w:val="48"/>
    </w:rPr>
  </w:style>
  <w:style w:type="paragraph" w:styleId="528">
    <w:name w:val="Subtitle"/>
    <w:basedOn w:val="676"/>
    <w:next w:val="676"/>
    <w:link w:val="529"/>
    <w:qFormat/>
    <w:uiPriority w:val="11"/>
    <w:rPr>
      <w:sz w:val="24"/>
      <w:szCs w:val="24"/>
    </w:rPr>
    <w:pPr>
      <w:spacing w:after="200" w:before="200"/>
    </w:pPr>
  </w:style>
  <w:style w:type="character" w:styleId="529">
    <w:name w:val="Subtitle Char"/>
    <w:basedOn w:val="679"/>
    <w:link w:val="528"/>
    <w:uiPriority w:val="11"/>
    <w:rPr>
      <w:sz w:val="24"/>
      <w:szCs w:val="24"/>
    </w:rPr>
  </w:style>
  <w:style w:type="paragraph" w:styleId="530">
    <w:name w:val="Quote"/>
    <w:basedOn w:val="676"/>
    <w:next w:val="676"/>
    <w:link w:val="531"/>
    <w:qFormat/>
    <w:uiPriority w:val="29"/>
    <w:rPr>
      <w:i/>
    </w:rPr>
    <w:pPr>
      <w:ind w:left="720" w:right="720"/>
    </w:pPr>
  </w:style>
  <w:style w:type="character" w:styleId="531">
    <w:name w:val="Quote Char"/>
    <w:link w:val="530"/>
    <w:uiPriority w:val="29"/>
    <w:rPr>
      <w:i/>
    </w:rPr>
  </w:style>
  <w:style w:type="paragraph" w:styleId="532">
    <w:name w:val="Intense Quote"/>
    <w:basedOn w:val="676"/>
    <w:next w:val="676"/>
    <w:link w:val="53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33">
    <w:name w:val="Intense Quote Char"/>
    <w:link w:val="532"/>
    <w:uiPriority w:val="30"/>
    <w:rPr>
      <w:i/>
    </w:rPr>
  </w:style>
  <w:style w:type="character" w:styleId="534">
    <w:name w:val="Header Char"/>
    <w:basedOn w:val="679"/>
    <w:link w:val="686"/>
    <w:uiPriority w:val="99"/>
  </w:style>
  <w:style w:type="character" w:styleId="535">
    <w:name w:val="Footer Char"/>
    <w:basedOn w:val="679"/>
    <w:link w:val="688"/>
    <w:uiPriority w:val="99"/>
  </w:style>
  <w:style w:type="paragraph" w:styleId="536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7">
    <w:name w:val="Caption Char"/>
    <w:basedOn w:val="536"/>
    <w:link w:val="688"/>
    <w:uiPriority w:val="99"/>
  </w:style>
  <w:style w:type="table" w:styleId="538">
    <w:name w:val="Table Grid Light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9">
    <w:name w:val="Plain Table 1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0">
    <w:name w:val="Plain Table 2"/>
    <w:basedOn w:val="6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1">
    <w:name w:val="Plain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2">
    <w:name w:val="Plain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Plain Table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4">
    <w:name w:val="Grid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Grid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Grid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Grid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6">
    <w:name w:val="Grid Table 4 - Accent 1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7">
    <w:name w:val="Grid Table 4 - Accent 2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8">
    <w:name w:val="Grid Table 4 - Accent 3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9">
    <w:name w:val="Grid Table 4 - Accent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0">
    <w:name w:val="Grid Table 4 - Accent 5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1">
    <w:name w:val="Grid Table 4 - Accent 6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2">
    <w:name w:val="Grid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73">
    <w:name w:val="Grid Table 5 Dark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76">
    <w:name w:val="Grid Table 5 Dark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77">
    <w:name w:val="Grid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78">
    <w:name w:val="Grid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79">
    <w:name w:val="Grid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0">
    <w:name w:val="Grid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1">
    <w:name w:val="Grid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2">
    <w:name w:val="Grid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3">
    <w:name w:val="Grid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4">
    <w:name w:val="Grid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5">
    <w:name w:val="Grid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6">
    <w:name w:val="Grid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List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List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List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1">
    <w:name w:val="List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2">
    <w:name w:val="List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3">
    <w:name w:val="List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4">
    <w:name w:val="List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5">
    <w:name w:val="List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6">
    <w:name w:val="List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7">
    <w:name w:val="List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4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4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4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5 Dark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6">
    <w:name w:val="List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7">
    <w:name w:val="List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8">
    <w:name w:val="List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9">
    <w:name w:val="List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0">
    <w:name w:val="List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1">
    <w:name w:val="List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2">
    <w:name w:val="List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3">
    <w:name w:val="List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4">
    <w:name w:val="List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5">
    <w:name w:val="List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6">
    <w:name w:val="List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7">
    <w:name w:val="List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8">
    <w:name w:val="List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9">
    <w:name w:val="List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0">
    <w:name w:val="List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41">
    <w:name w:val="List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2">
    <w:name w:val="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3">
    <w:name w:val="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4">
    <w:name w:val="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5">
    <w:name w:val="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46">
    <w:name w:val="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47">
    <w:name w:val="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48">
    <w:name w:val="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49">
    <w:name w:val="Bordered &amp; 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0">
    <w:name w:val="Bordered &amp; 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1">
    <w:name w:val="Bordered &amp; 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2">
    <w:name w:val="Bordered &amp; 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3">
    <w:name w:val="Bordered &amp; 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4">
    <w:name w:val="Bordered &amp; 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5">
    <w:name w:val="Bordered &amp; 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6">
    <w:name w:val="Bordered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7">
    <w:name w:val="Bordered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8">
    <w:name w:val="Bordered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9">
    <w:name w:val="Bordered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0">
    <w:name w:val="Bordered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1">
    <w:name w:val="Bordered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2">
    <w:name w:val="Bordered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63">
    <w:name w:val="footnote text"/>
    <w:basedOn w:val="676"/>
    <w:link w:val="664"/>
    <w:uiPriority w:val="99"/>
    <w:semiHidden/>
    <w:unhideWhenUsed/>
    <w:rPr>
      <w:sz w:val="18"/>
    </w:rPr>
    <w:pPr>
      <w:spacing w:lineRule="auto" w:line="240" w:after="40"/>
    </w:pPr>
  </w:style>
  <w:style w:type="character" w:styleId="664">
    <w:name w:val="Footnote Text Char"/>
    <w:link w:val="663"/>
    <w:uiPriority w:val="99"/>
    <w:rPr>
      <w:sz w:val="18"/>
    </w:rPr>
  </w:style>
  <w:style w:type="character" w:styleId="665">
    <w:name w:val="footnote reference"/>
    <w:basedOn w:val="679"/>
    <w:uiPriority w:val="99"/>
    <w:unhideWhenUsed/>
    <w:rPr>
      <w:vertAlign w:val="superscript"/>
    </w:rPr>
  </w:style>
  <w:style w:type="paragraph" w:styleId="666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67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668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669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670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671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672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73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674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75">
    <w:name w:val="TOC Heading"/>
    <w:uiPriority w:val="39"/>
    <w:unhideWhenUsed/>
  </w:style>
  <w:style w:type="paragraph" w:styleId="676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77">
    <w:name w:val="Heading 1"/>
    <w:basedOn w:val="676"/>
    <w:next w:val="676"/>
    <w:link w:val="682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78">
    <w:name w:val="Heading 4"/>
    <w:basedOn w:val="676"/>
    <w:next w:val="676"/>
    <w:link w:val="690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7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83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684" w:customStyle="1">
    <w:name w:val="Знак"/>
    <w:basedOn w:val="676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85">
    <w:name w:val="Emphasis"/>
    <w:qFormat/>
    <w:rPr>
      <w:i/>
      <w:iCs/>
    </w:rPr>
  </w:style>
  <w:style w:type="paragraph" w:styleId="686">
    <w:name w:val="Header"/>
    <w:basedOn w:val="676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9"/>
    <w:link w:val="686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88">
    <w:name w:val="Footer"/>
    <w:basedOn w:val="676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9"/>
    <w:link w:val="688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690" w:customStyle="1">
    <w:name w:val="Заголовок 4 Знак"/>
    <w:basedOn w:val="679"/>
    <w:link w:val="678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691">
    <w:name w:val="Hyperlink"/>
    <w:basedOn w:val="679"/>
    <w:uiPriority w:val="99"/>
    <w:unhideWhenUsed/>
    <w:rPr>
      <w:color w:val="0000FF" w:themeColor="hyperlink"/>
      <w:u w:val="single"/>
    </w:rPr>
  </w:style>
  <w:style w:type="paragraph" w:styleId="692">
    <w:name w:val="Balloon Text"/>
    <w:basedOn w:val="676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79"/>
    <w:link w:val="692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694">
    <w:name w:val="List Paragraph"/>
    <w:basedOn w:val="676"/>
    <w:qFormat/>
    <w:uiPriority w:val="34"/>
    <w:pPr>
      <w:contextualSpacing w:val="true"/>
      <w:ind w:left="720"/>
    </w:pPr>
  </w:style>
  <w:style w:type="table" w:styleId="695">
    <w:name w:val="Table Grid"/>
    <w:basedOn w:val="680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Сетка таблицы1"/>
    <w:basedOn w:val="680"/>
    <w:next w:val="695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Сетка таблицы2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Сетка таблицы3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Сетка таблицы4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Сетка таблицы5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Сетка таблицы6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List Bullet"/>
    <w:basedOn w:val="676"/>
    <w:uiPriority w:val="99"/>
    <w:unhideWhenUsed/>
    <w:pPr>
      <w:numPr>
        <w:numId w:val="31"/>
      </w:numPr>
      <w:contextualSpacing w:val="true"/>
    </w:pPr>
  </w:style>
  <w:style w:type="table" w:styleId="703" w:customStyle="1">
    <w:name w:val="Сетка таблицы7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Сетка таблицы8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Сетка таблицы9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Сетка таблицы10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7">
    <w:name w:val="Обычный"/>
    <w:next w:val="666"/>
    <w:link w:val="666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148</cp:revision>
  <dcterms:created xsi:type="dcterms:W3CDTF">2012-09-07T07:17:00Z</dcterms:created>
  <dcterms:modified xsi:type="dcterms:W3CDTF">2022-01-24T06:32:29Z</dcterms:modified>
</cp:coreProperties>
</file>