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/>
      <w:r>
        <w:rPr>
          <w:rFonts w:ascii="Times New Roman" w:hAnsi="Times New Roman" w:cs="Times New Roman"/>
          <w:sz w:val="28"/>
          <w:szCs w:val="28"/>
        </w:rPr>
        <w:t xml:space="preserve">регулирования цен 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тарифов </w:t>
      </w:r>
      <w:r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Костромской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«_25» декабря 20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442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оложение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 коллегии при департаменте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регулирования цен и тарифов </w:t>
      </w:r>
      <w:r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Костромской области</w:t>
      </w:r>
      <w:r/>
    </w:p>
    <w:p>
      <w:pPr>
        <w:pStyle w:val="424"/>
        <w:ind w:firstLine="709"/>
        <w:rPr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 </w:t>
      </w:r>
      <w:r/>
      <w:r>
        <w:rPr>
          <w:b w:val="false"/>
          <w:sz w:val="28"/>
          <w:szCs w:val="28"/>
        </w:rPr>
        <w:t xml:space="preserve">(в ред. приказа департамента государственного регулирования </w:t>
        <w:br/>
        <w:t xml:space="preserve">цен и тарифов Костромской области от 29.12.2021 № 52)</w:t>
      </w:r>
      <w:r>
        <w:rPr>
          <w:b w:val="false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  <w:r>
        <w:rPr>
          <w:rFonts w:ascii="Times New Roman" w:hAnsi="Times New Roman" w:cs="Times New Roman"/>
          <w:b w:val="false"/>
          <w:bCs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Глава 1. Общие положения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 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 Коллегия при департаменте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регулирования цен</w:t>
        <w:br/>
        <w:t xml:space="preserve">и тарифов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Костромской области (далее - Коллегия) образована как совещательный орган для выработки решений по наиболее важным вопросам в сфере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регулирования цен и тарифов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Костромской области: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итоги тарифного регулирования за истекший период;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цели и задачи тарифного регулирования на предстоящий период; 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ины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входящи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компетенцию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регулирования цен и тарифов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Костромской области</w:t>
      </w:r>
      <w:r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требующи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выработки по ним согласованного решения.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Коллегия в своей деятельности руководствуе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тся Конституцией Российской Федерации, федеральными законами, указами, распоряжениями Президента Российской Федерации, постановлениями и распоряжениями Правительства Российской Федерации, законодательством Костромской области, а также настоящим Положением.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 </w:t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Глава 2.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Состав и организация работы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оллегии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 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 Коллегия формируется в составе председателя Коллегии и членов Коллегии.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Председатель Коллегии и члены Коллегии участвуют в ее работе на общественных началах.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 Председателем Коллегии является директор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регулирования цен и тарифов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Костромской области.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случае отсутствия председателя председательствует на заседаниях Коллегии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первый заместитель директора департамента –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заместитель председателя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оллегии.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 Персональный состав Коллегии определяется губернатором Костромской области.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Полномочия членов Коллегии начинаются и прекращаются со дня принятия губернатором Костромской области соответствующего решения.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заседания Коллегии могут приглашаться депутаты Костромской областной Думы, руководители территориальных органов федеральных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органов исполнительной власти, исполнительных органов государственной власти Костромской области, главы муниципальных образований Костромской области, руководители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регулируемых организаций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Костромской области, государственных предприятий и учреждений, структурных подразделений аппарата администрации Костромской области, представители федерации организаций профсоюзов Костромской области, Общественной палаты Костромской области и другие лица.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вопросам, рассматриваемым на заседании Коллегии, приглашаются лица, имеющие непосредственное отношение к этим вопросам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6. Председатель Коллегии: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председательствует на заседаниях Коллегии;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формирует на основе предложений членов Коллегии план работы Коллегии и повестку дня ее очередного заседания;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дает поручения членам Коллегии и секретарю Коллегии;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подписывает протоколы заседаний Коллегии.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7. Секретарь Коллегии: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обеспечивает подготовку проекта плана работы Коллегии, составляет проекты повестки дня ее заседаний, организует подготовку материалов к заседаниям Коллегии, а также проектов соответствующих решений;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организует ведение протокола заседания Коллегии;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информирует членов Коллегии о месте, времени проведения и повестке дня очередного заседания Коллегии, обеспечивает их необходимыми материалами;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несет ответственность за обеспечение деятельности Коллегии;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исполняет иные поручения председателя Коллегии.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8. Члены Коллегии вносят предложения по плану работы Коллегии, повестке дня ее заседаний и порядку обсуждения вопросов, участвуют в подготовке материалов к заседаниям Коллегии, а также проектов ее решений.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Члены Коллегии не вправе делегировать свои полномочия другим лицам.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9. Проекты документов по вопросам, подлежащим рассмотрению на очередном заседании Коллегии, представляются ответственными за их подготовку секретарю Коллегии не позднее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дней до дня заседания Коллегии.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 </w:t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Глава 3.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Порядок работы 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оллегии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 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10. Заседания Коллегии проводятся не реже 1 раза в год, как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правило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итогам работы за истекший период (год) в 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квартале года, следующего за отчетным.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11. По решению председателя Коллегии могут проводиться внеочередные заседания Коллегии.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12.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Заседание Коллегии считается правомочным, если на нем присутствует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/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или более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членов ее состава.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13. Решение Коллегии считается принятым, если за него проголосовало большинство членов Коллегии, участвующих в заседании Коллегии.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14. Решения Коллегии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носят рекомендательный характер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оформляются протоколом.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15.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ходом исполнения решений коллегии осуществляется заместителями директора департамента по вопросам их ведения.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16.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доклад председателя Коллегии в обязательном порядке включается отчет о выполнении решений Коллегии, данных на предыдущем заседании.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________________________________________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1276" w:bottom="1134" w:left="155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  <w:rPr>
        <w:sz w:val="27"/>
        <w:szCs w:val="27"/>
      </w:rPr>
    </w:lvl>
    <w:lvl w:ilvl="1">
      <w:start w:val="1"/>
      <w:numFmt w:val="bullet"/>
      <w:isLgl w:val="false"/>
      <w:suff w:val="tab"/>
      <w:lvlText w:val="-"/>
      <w:lvlJc w:val="left"/>
      <w:pPr>
        <w:ind w:left="1980" w:hanging="360"/>
        <w:tabs>
          <w:tab w:val="num" w:pos="1980" w:leader="none"/>
        </w:tabs>
      </w:pPr>
      <w:rPr>
        <w:rFonts w:ascii="Times New Roman" w:hAnsi="Times New Roman" w:cs="Times New Roman" w:eastAsia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143" w:hanging="360"/>
      </w:pPr>
      <w:rPr>
        <w:rFonts w:cs="Calibri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9"/>
    <w:next w:val="419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20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9"/>
    <w:next w:val="419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2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9"/>
    <w:next w:val="419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2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9"/>
    <w:next w:val="419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2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9"/>
    <w:next w:val="419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2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9"/>
    <w:next w:val="419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2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9"/>
    <w:next w:val="419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2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9"/>
    <w:next w:val="419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2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9"/>
    <w:next w:val="419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2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420"/>
    <w:link w:val="424"/>
    <w:uiPriority w:val="10"/>
    <w:rPr>
      <w:sz w:val="48"/>
      <w:szCs w:val="48"/>
    </w:rPr>
  </w:style>
  <w:style w:type="paragraph" w:styleId="34">
    <w:name w:val="Subtitle"/>
    <w:basedOn w:val="419"/>
    <w:next w:val="419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20"/>
    <w:link w:val="34"/>
    <w:uiPriority w:val="11"/>
    <w:rPr>
      <w:sz w:val="24"/>
      <w:szCs w:val="24"/>
    </w:rPr>
  </w:style>
  <w:style w:type="paragraph" w:styleId="36">
    <w:name w:val="Quote"/>
    <w:basedOn w:val="419"/>
    <w:next w:val="419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9"/>
    <w:next w:val="419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9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20"/>
    <w:link w:val="40"/>
    <w:uiPriority w:val="99"/>
  </w:style>
  <w:style w:type="paragraph" w:styleId="42">
    <w:name w:val="Footer"/>
    <w:basedOn w:val="419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20"/>
    <w:link w:val="42"/>
    <w:uiPriority w:val="99"/>
  </w:style>
  <w:style w:type="paragraph" w:styleId="44">
    <w:name w:val="Caption"/>
    <w:basedOn w:val="419"/>
    <w:next w:val="41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2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419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20"/>
    <w:uiPriority w:val="99"/>
    <w:unhideWhenUsed/>
    <w:rPr>
      <w:vertAlign w:val="superscript"/>
    </w:rPr>
  </w:style>
  <w:style w:type="paragraph" w:styleId="176">
    <w:name w:val="endnote text"/>
    <w:basedOn w:val="419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20"/>
    <w:uiPriority w:val="99"/>
    <w:semiHidden/>
    <w:unhideWhenUsed/>
    <w:rPr>
      <w:vertAlign w:val="superscript"/>
    </w:rPr>
  </w:style>
  <w:style w:type="paragraph" w:styleId="179">
    <w:name w:val="toc 1"/>
    <w:basedOn w:val="419"/>
    <w:next w:val="41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9"/>
    <w:next w:val="41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9"/>
    <w:next w:val="41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9"/>
    <w:next w:val="41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9"/>
    <w:next w:val="41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9"/>
    <w:next w:val="41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9"/>
    <w:next w:val="41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9"/>
    <w:next w:val="41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9"/>
    <w:next w:val="41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9" w:default="1">
    <w:name w:val="Normal"/>
    <w:qFormat/>
  </w:style>
  <w:style w:type="character" w:styleId="420" w:default="1">
    <w:name w:val="Default Paragraph Font"/>
    <w:uiPriority w:val="1"/>
    <w:semiHidden/>
    <w:unhideWhenUsed/>
  </w:style>
  <w:style w:type="table" w:styleId="42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2" w:default="1">
    <w:name w:val="No List"/>
    <w:uiPriority w:val="99"/>
    <w:semiHidden/>
    <w:unhideWhenUsed/>
  </w:style>
  <w:style w:type="character" w:styleId="423">
    <w:name w:val="Hyperlink"/>
    <w:basedOn w:val="420"/>
    <w:uiPriority w:val="99"/>
    <w:unhideWhenUsed/>
    <w:rPr>
      <w:color w:val="0000FF"/>
      <w:u w:val="single"/>
    </w:rPr>
  </w:style>
  <w:style w:type="paragraph" w:styleId="424">
    <w:name w:val="Title"/>
    <w:basedOn w:val="419"/>
    <w:link w:val="425"/>
    <w:qFormat/>
    <w:rPr>
      <w:rFonts w:ascii="Times New Roman" w:hAnsi="Times New Roman" w:cs="Times New Roman" w:eastAsia="Times New Roman"/>
      <w:sz w:val="32"/>
      <w:szCs w:val="20"/>
      <w:lang w:eastAsia="ru-RU"/>
    </w:rPr>
    <w:pPr>
      <w:jc w:val="center"/>
      <w:spacing w:lineRule="auto" w:line="240" w:after="0"/>
    </w:pPr>
  </w:style>
  <w:style w:type="character" w:styleId="425" w:customStyle="1">
    <w:name w:val="Название Знак"/>
    <w:basedOn w:val="420"/>
    <w:link w:val="424"/>
    <w:rPr>
      <w:rFonts w:ascii="Times New Roman" w:hAnsi="Times New Roman" w:cs="Times New Roman" w:eastAsia="Times New Roman"/>
      <w:sz w:val="32"/>
      <w:szCs w:val="20"/>
      <w:lang w:eastAsia="ru-RU"/>
    </w:rPr>
  </w:style>
  <w:style w:type="paragraph" w:styleId="426" w:customStyle="1">
    <w:name w:val="ConsPlusNormal"/>
    <w:rPr>
      <w:rFonts w:ascii="Arial" w:hAnsi="Arial" w:cs="Arial" w:eastAsia="Times New Roman"/>
      <w:sz w:val="20"/>
      <w:szCs w:val="20"/>
      <w:lang w:eastAsia="ru-RU"/>
    </w:rPr>
    <w:pPr>
      <w:ind w:firstLine="720"/>
      <w:spacing w:lineRule="auto" w:line="240" w:after="0"/>
      <w:widowControl w:val="off"/>
    </w:pPr>
  </w:style>
  <w:style w:type="paragraph" w:styleId="427">
    <w:name w:val="List Paragraph"/>
    <w:basedOn w:val="419"/>
    <w:qFormat/>
    <w:uiPriority w:val="34"/>
    <w:rPr>
      <w:rFonts w:ascii="Calibri" w:hAnsi="Calibri" w:cs="Times New Roman" w:eastAsia="Times New Roman"/>
      <w:lang w:eastAsia="ru-RU"/>
    </w:rPr>
    <w:pPr>
      <w:contextualSpacing w:val="true"/>
      <w:ind w:left="720"/>
    </w:pPr>
  </w:style>
  <w:style w:type="paragraph" w:styleId="428">
    <w:name w:val="Balloon Text"/>
    <w:basedOn w:val="419"/>
    <w:link w:val="429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429" w:customStyle="1">
    <w:name w:val="Текст выноски Знак"/>
    <w:basedOn w:val="420"/>
    <w:link w:val="42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департамент ГРЦ и Т 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</cp:revision>
  <dcterms:created xsi:type="dcterms:W3CDTF">2016-07-11T08:45:00Z</dcterms:created>
  <dcterms:modified xsi:type="dcterms:W3CDTF">2022-01-21T09:45:55Z</dcterms:modified>
</cp:coreProperties>
</file>