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6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9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УТВЕРЖДЕНА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rFonts w:eastAsia="Calibri"/>
                <w:sz w:val="28"/>
                <w:u w:val="single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«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 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>
              <w:rPr>
                <w:u w:val="single"/>
              </w:rPr>
            </w:r>
          </w:p>
        </w:tc>
      </w:tr>
    </w:tbl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lang w:eastAsia="en-US"/>
        </w:rPr>
        <w:t xml:space="preserve">ДОЛЖНОСТНАЯ ИНСТРУКЦИЯ </w:t>
      </w:r>
      <w:r/>
    </w:p>
    <w:p>
      <w:pPr>
        <w:jc w:val="center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lang w:eastAsia="en-US"/>
        </w:rPr>
        <w:t xml:space="preserve">ответственного за организацию  обработки персональных</w:t>
      </w:r>
      <w:r/>
    </w:p>
    <w:p>
      <w:pPr>
        <w:jc w:val="center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lang w:eastAsia="en-US"/>
        </w:rPr>
        <w:t xml:space="preserve"> данных </w:t>
      </w:r>
      <w:r>
        <w:rPr>
          <w:rFonts w:eastAsia="Calibri"/>
          <w:b w:val="false"/>
          <w:lang w:eastAsia="en-US"/>
        </w:rPr>
        <w:t xml:space="preserve">в </w:t>
      </w:r>
      <w:r>
        <w:rPr>
          <w:rFonts w:eastAsia="Calibri"/>
          <w:b w:val="false"/>
          <w:lang w:eastAsia="en-US"/>
        </w:rPr>
        <w:t xml:space="preserve">департаменте государственного регулирования</w:t>
      </w:r>
      <w:r/>
    </w:p>
    <w:p>
      <w:pPr>
        <w:jc w:val="center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lang w:eastAsia="en-US"/>
        </w:rPr>
        <w:t xml:space="preserve"> цен и тарифов</w:t>
      </w:r>
      <w:r>
        <w:rPr>
          <w:b w:val="false"/>
        </w:rPr>
        <w:t xml:space="preserve"> </w:t>
      </w:r>
      <w:r>
        <w:rPr>
          <w:rFonts w:eastAsia="Calibri"/>
          <w:b w:val="false"/>
          <w:lang w:eastAsia="en-US"/>
        </w:rPr>
        <w:t xml:space="preserve">Костромской области </w:t>
      </w:r>
      <w:r>
        <w:rPr>
          <w:rFonts w:ascii="Calibri" w:hAnsi="Calibri" w:cs="Calibri" w:eastAsia="Calibri"/>
          <w:b w:val="false"/>
          <w:bCs w:val="false"/>
          <w:sz w:val="22"/>
          <w:szCs w:val="22"/>
          <w:lang w:eastAsia="en-US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</w:r>
      <w:r>
        <w:rPr>
          <w:rFonts w:eastAsia="Calibri"/>
          <w:b w:val="false"/>
          <w:lang w:eastAsia="en-US"/>
        </w:rPr>
      </w:r>
      <w:r/>
    </w:p>
    <w:p>
      <w:pPr>
        <w:ind w:left="0" w:right="0" w:firstLine="0"/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</w:rPr>
        <w:t xml:space="preserve">Глава 1. Общие положения</w:t>
      </w:r>
      <w:r>
        <w:rPr>
          <w:rFonts w:eastAsia="Calibri"/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</w:rPr>
      </w:r>
      <w:r>
        <w:rPr>
          <w:rFonts w:eastAsia="Calibri"/>
          <w:b w:val="false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1. Объекты вычислительной техники (ОВТ) разрешается использовать для обработки персональных данных при соблюдении следующих условий:</w:t>
      </w:r>
      <w:r/>
    </w:p>
    <w:p>
      <w:pPr>
        <w:pStyle w:val="710"/>
        <w:numPr>
          <w:ilvl w:val="0"/>
          <w:numId w:val="34"/>
        </w:numPr>
        <w:ind w:left="0" w:right="0" w:firstLine="709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право работать на ОВТ предоставляется Администратору информационной безопасности и пользователям;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firstLine="709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2) к</w:t>
      </w:r>
      <w:r>
        <w:rPr>
          <w:rFonts w:eastAsia="Calibri"/>
          <w:b w:val="false"/>
          <w:bCs w:val="false"/>
          <w:lang w:eastAsia="en-US"/>
        </w:rPr>
        <w:t xml:space="preserve">аждый сотрудник,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 и данным ОВТ, несет персональную ответственность за свои действия.</w:t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Глава 2. Обязанности пользователя ОВТ</w:t>
      </w:r>
      <w:r/>
    </w:p>
    <w:p>
      <w:pPr>
        <w:jc w:val="both"/>
        <w:rPr>
          <w:b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  <w:bCs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2. Выполнять на ОВТ только те действия, которые определены для него в Разрешительной системе доступа к информационным (программным) ресурсам объекта вычислительной техники - автоматизированное рабочее место на базе автономной ПЭВМ.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3. Знать и соблюдать установленные требования по защите персональных данных, учету, хранению и пересылке машинных носителей информации, а также руководящих и организационно-распорядительных документов на данный ОВТ.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4.</w:t>
      </w:r>
      <w:r>
        <w:rPr>
          <w:b w:val="false"/>
          <w:color w:val="000000"/>
        </w:rPr>
        <w:t xml:space="preserve"> Пользователи перед началом обработки на ОВТ файлов, хранящихся на съемных носителях информации, должны осуществить проверку файлов на наличие компьютерных вирусов. Антивирусный контроль ОВТ должен осуществляться пользователем не реже одного раза в неделю.</w:t>
      </w:r>
      <w:r/>
    </w:p>
    <w:p>
      <w:pPr>
        <w:ind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5. Экран видеомонитора в помещении располагать во время работы так, чтобы исключать возможность ознакомления с отображаемой на них информацией посторонними лицами, шторы на окнах проемах должны быть  завешаны (жалюзи закрыты).</w:t>
      </w:r>
      <w:r/>
    </w:p>
    <w:p>
      <w:pPr>
        <w:ind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6. Соблюдать установленный режим разграничения доступа к информационным ресурсам: </w:t>
      </w:r>
      <w:r>
        <w:rPr>
          <w:b w:val="false"/>
          <w:color w:val="000000"/>
        </w:rPr>
        <w:t xml:space="preserve">получать у Администратора информационной безопасности (АИБ) пароль, надежно его запоминать и хранить в тайне.</w:t>
      </w:r>
      <w:r>
        <w:rPr>
          <w:b w:val="false"/>
          <w:color w:val="000000"/>
        </w:rPr>
      </w:r>
      <w:r/>
    </w:p>
    <w:p>
      <w:pPr>
        <w:ind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7. Немедленно докладывать АИБ обо всех фактах и попытках несанкционированного доступа (НСД) к обрабатываемой на ОВТ информации или об ее исчезновении (искажении).</w:t>
      </w:r>
      <w:r>
        <w:rPr>
          <w:b w:val="false"/>
          <w:color w:val="000000"/>
        </w:rPr>
      </w:r>
      <w:r/>
    </w:p>
    <w:p>
      <w:pPr>
        <w:ind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8. Пользователям ОВТ запрещается: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записывать и хранить информацию на неучтенных носителях  информации (НИ);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оставлять во время работы магнитные НИ (или ОВТ с НИ) без присмотра, передавать их другим лицам и выносить за пределы помещения, в котором разрешена обработка информации;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отключать (блокировать) средства защиты информации, предусмотренные организационно распорядительными документами на данный ОВТ;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производить какие-либо изменения в электрических сетях, монтаже и размещении технических средств;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самостоятельно устанавливать, тиражировать, или модифицировать программное обеспечение, изменить установленный алгоритм функционирования технических и программных средств;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обрабатывать на ОВТ информацию и выполнять другие работы, не предусмотренные перечнем прав пользователя по доступу к информационным ресурсам обработки информации;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сообщать (или передавать) посторонним лицам личные атрибуты доступа к ресурсам ОВТ;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производить копирование дискет, отдельных файлов с учетом НИ на неучтенные НИ, в том числе для временного хранения </w:t>
      </w:r>
      <w:r>
        <w:rPr>
          <w:b w:val="false"/>
          <w:color w:val="000000"/>
        </w:rPr>
        <w:t xml:space="preserve">информации;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 работать на ОВТ при обнаружении каких-либо неисправностей;</w:t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хранить НИ вблизи сильных источников электромагнитных изучений и прямых солнечных лучей;</w:t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хранить на учтенных НИ программы и данные, не относящиеся к рабочей информации;</w:t>
      </w:r>
      <w:r/>
    </w:p>
    <w:p>
      <w:pPr>
        <w:pStyle w:val="710"/>
        <w:numPr>
          <w:ilvl w:val="0"/>
          <w:numId w:val="36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привлекать посторонних лиц для производства ремонта ОВТ.</w:t>
      </w:r>
      <w:r/>
    </w:p>
    <w:p>
      <w:pPr>
        <w:ind w:left="709" w:right="0" w:firstLine="0"/>
        <w:jc w:val="both"/>
        <w:rPr>
          <w:b w:val="false"/>
          <w:color w:val="000000"/>
        </w:rPr>
      </w:pPr>
      <w:r>
        <w:rPr>
          <w:b w:val="false"/>
          <w:color w:val="000000"/>
        </w:rPr>
      </w:r>
      <w:r/>
    </w:p>
    <w:p>
      <w:pPr>
        <w:ind w:left="0" w:right="0" w:firstLine="0"/>
        <w:jc w:val="center"/>
        <w:rPr>
          <w:b w:val="false"/>
          <w:color w:val="000000"/>
        </w:rPr>
      </w:pPr>
      <w:r>
        <w:rPr>
          <w:b w:val="false"/>
          <w:color w:val="000000"/>
        </w:rPr>
        <w:t xml:space="preserve">Глава 3. Организация парольной защиты при работе </w:t>
        <w:br/>
        <w:t xml:space="preserve">на объектах информатизации</w:t>
      </w:r>
      <w:r/>
    </w:p>
    <w:p>
      <w:pPr>
        <w:ind w:left="709" w:right="0" w:firstLine="0"/>
        <w:jc w:val="both"/>
        <w:rPr>
          <w:b w:val="false"/>
          <w:color w:val="000000"/>
        </w:rPr>
      </w:pPr>
      <w:r>
        <w:rPr>
          <w:b w:val="false"/>
          <w:color w:val="000000"/>
        </w:rPr>
      </w:r>
      <w:r/>
    </w:p>
    <w:p>
      <w:p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9. Личные пароли доступа к объекту информатизации, системе защиты от НСД, выдаются пользователям АИБ, и при этом необходимо руководствоваться следующими требованиями: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длина пароля должна быть не менее 6-ти буквенно-цифровых символов;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пароль не должен включать в себя легко вычисляемые сочетания символов (имена, фамилии, дни рождения и другие памятные даты, номера телефонов, автомобилей, адреса места жительства, наименование АРМ, общепринятые сокращения (ЭВМ, ЛВС, </w:t>
      </w:r>
      <w:r>
        <w:rPr>
          <w:b w:val="false"/>
          <w:color w:val="000000"/>
          <w:lang w:val="en-US"/>
        </w:rPr>
        <w:t xml:space="preserve">USER, SYSOP, GUEST, ADMINISTRATOR </w:t>
      </w:r>
      <w:r>
        <w:rPr>
          <w:b w:val="false"/>
          <w:color w:val="000000"/>
          <w:lang w:val="ru-RU"/>
        </w:rPr>
        <w:t xml:space="preserve">и т.д.), и другие данные, которые могут быть подобраны злоумышленником путем анализа информации </w:t>
        <w:br/>
        <w:t xml:space="preserve">об ответственном исполнителе;</w:t>
      </w:r>
      <w:r>
        <w:rPr>
          <w:b w:val="false"/>
          <w:color w:val="000000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</w:rPr>
      </w:pPr>
      <w:r>
        <w:rPr>
          <w:b w:val="false"/>
          <w:color w:val="000000"/>
          <w:lang w:val="ru-RU"/>
        </w:rPr>
        <w:t xml:space="preserve">не использовать в качестве пароля один и тот же повторяющийся символ либо повторяющуюся комбинацию из нескольких символов;</w:t>
      </w:r>
      <w:r>
        <w:rPr>
          <w:b w:val="false"/>
          <w:color w:val="000000"/>
          <w:lang w:val="ru-RU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</w:r>
      <w:r>
        <w:rPr>
          <w:b w:val="false"/>
          <w:color w:val="000000"/>
          <w:lang w:val="ru-RU"/>
        </w:rPr>
        <w:t xml:space="preserve">не использовать в качестве пароля комбинацию символов, набираемых в закономерном </w:t>
      </w:r>
      <w:r>
        <w:rPr>
          <w:b w:val="false"/>
          <w:color w:val="000000"/>
          <w:lang w:val="ru-RU"/>
        </w:rPr>
        <w:t xml:space="preserve">порядке на клавиатуре (например: 1234567 </w:t>
        <w:br/>
        <w:t xml:space="preserve">и т.п.);</w:t>
      </w:r>
      <w:r>
        <w:rPr>
          <w:b w:val="false"/>
          <w:color w:val="000000"/>
          <w:lang w:val="ru-RU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при смене пароля новое значение должно отличаться </w:t>
        <w:br/>
        <w:t xml:space="preserve">от предыдущего не менее чем в 4 позициях;</w:t>
      </w:r>
      <w:r>
        <w:rPr>
          <w:b w:val="false"/>
          <w:color w:val="000000"/>
          <w:lang w:val="ru-RU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в числе символов пароля, обязательно должны присутствовать буквы в верхнем и нижнем регистрах, а также цифры;</w:t>
      </w:r>
      <w:r>
        <w:rPr>
          <w:b w:val="false"/>
          <w:color w:val="000000"/>
          <w:lang w:val="ru-RU"/>
        </w:rPr>
      </w:r>
      <w:r/>
    </w:p>
    <w:p>
      <w:pPr>
        <w:pStyle w:val="710"/>
        <w:numPr>
          <w:ilvl w:val="0"/>
          <w:numId w:val="37"/>
        </w:numPr>
        <w:ind w:left="0" w:right="0" w:firstLine="709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не использовать ранее использованные пароли.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10. Лица, использующие паролирование, обязаны: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1) четко знать и строго выполнять требования настоящей инструкции и других руководящи документов по паролированию;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2) своевременно сообщать АИБ о всех нештатных ситуациях, нарушениях работы подсистем защиты от НДС, возникающих при работе с паролями.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11. При организации парольной защиты запрещается: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1) записывать свои пароли в очевидных местах, внутренности ящика стола, на мониторе ПЭВМ, на обратной стороне клавиатуры и т.д.;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2) хранить пароли в записанном виде на отдельных листах бумаги;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3) сообщать посторонним лицам свои пароли, а также сведения о применяемой системе защиты от НСД.</w:t>
      </w:r>
      <w:r>
        <w:rPr>
          <w:b w:val="false"/>
          <w:color w:val="000000"/>
          <w:lang w:val="ru-RU"/>
        </w:rPr>
      </w:r>
      <w:r/>
    </w:p>
    <w:p>
      <w:pPr>
        <w:ind w:left="0" w:right="0" w:firstLine="0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</w:r>
      <w:r>
        <w:rPr>
          <w:b w:val="false"/>
          <w:color w:val="000000"/>
          <w:lang w:val="ru-RU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Глава 4. Порядок применения парольной защиты</w:t>
      </w:r>
      <w:r/>
    </w:p>
    <w:p>
      <w:pPr>
        <w:jc w:val="center"/>
        <w:rPr>
          <w:b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  <w:bCs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12. Полная плановая смена пароля на ОВТ проводится не реже одного раза в год.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13. Удаление (в т.ч. внеплановая смена) личного пароля любого пользователя ОВТ должна производиться в следующих случаях: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1) в случае подозрения на дискредитацию пароля;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2) по окончании срока действия;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3) в случае прекращения полномочий (увольнение, переход на другую работу внутри организации) пользователя после окончания последнего  сеанса работы данного с системой;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4) по указанию АИБ.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14. Смена пароля  осуществляется АИБ.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</w:rPr>
        <w:tab/>
        <w:t xml:space="preserve">15. Для предотвращения доступа к персональным данным, находящейся в ПЭВМ, минуя ввод пароля, пользователь во время перерыва в работе обязан осуществлять блокирование системы нажатием комбинации </w:t>
      </w:r>
      <w:r>
        <w:rPr>
          <w:b w:val="false"/>
          <w:color w:val="000000"/>
          <w:lang w:val="en-US"/>
        </w:rPr>
        <w:t xml:space="preserve">Ctr1+Alt+1</w:t>
      </w:r>
      <w:r>
        <w:rPr>
          <w:b w:val="false"/>
          <w:color w:val="000000"/>
          <w:lang w:val="ru-RU"/>
        </w:rPr>
        <w:t xml:space="preserve"> или кнопки «Блокировать».</w:t>
      </w:r>
      <w:r>
        <w:rPr>
          <w:b w:val="false"/>
          <w:color w:val="000000"/>
        </w:rPr>
      </w:r>
      <w:r/>
    </w:p>
    <w:p>
      <w:pPr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  <w:t xml:space="preserve">Порядок применения (смены) пароля при работе на ПЭВМ, оборудованных системой защиты от НСД, приведен в эксплуатационной документации на СЗИ.</w:t>
      </w:r>
      <w:r>
        <w:rPr>
          <w:b w:val="false"/>
          <w:color w:val="000000"/>
          <w:lang w:val="ru-RU"/>
        </w:rPr>
      </w:r>
      <w:r/>
    </w:p>
    <w:p>
      <w:pPr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ab/>
      </w:r>
      <w:r/>
    </w:p>
    <w:p>
      <w:pPr>
        <w:jc w:val="center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Глава 5. Технология обработки персональных данных</w:t>
      </w:r>
      <w:r/>
    </w:p>
    <w:p>
      <w:pPr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</w:r>
      <w:r/>
    </w:p>
    <w:p>
      <w:pPr>
        <w:ind w:firstLine="709"/>
        <w:jc w:val="both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16. При перви</w:t>
      </w:r>
      <w:r>
        <w:rPr>
          <w:b w:val="false"/>
          <w:color w:val="000000"/>
          <w:lang w:val="ru-RU"/>
        </w:rPr>
        <w:t xml:space="preserve">чном доступе к работе на ОВТ пользователь знакомится с требованиями руководящих, нормативно-методических и организационно-распорядительных документов по вопросам автоматизированной обработки информации, изучает инструкцию пользователя системы защиты СКЗИ «</w:t>
      </w:r>
      <w:r>
        <w:rPr>
          <w:b w:val="false"/>
          <w:color w:val="000000"/>
          <w:lang w:val="en-US"/>
        </w:rPr>
        <w:t xml:space="preserve">ViPNet</w:t>
      </w:r>
      <w:r>
        <w:rPr>
          <w:b w:val="false"/>
          <w:color w:val="000000"/>
          <w:lang w:val="ru-RU"/>
        </w:rPr>
        <w:t xml:space="preserve">», получает персональный идентификатор или личный текущий пароль у АИБ.</w:t>
      </w:r>
      <w:r>
        <w:rPr>
          <w:b w:val="false"/>
          <w:color w:val="000000"/>
          <w:lang w:val="ru-RU"/>
        </w:rPr>
      </w:r>
      <w:r/>
    </w:p>
    <w:p>
      <w:pPr>
        <w:ind w:left="0" w:right="0" w:firstLine="709"/>
        <w:jc w:val="both"/>
        <w:widowControl w:val="off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17. В процессе работы пользователь производит обработку персональных данных на ОВТ под управлением операционной системы </w:t>
      </w:r>
      <w:r>
        <w:rPr>
          <w:b w:val="false"/>
          <w:color w:val="000000"/>
          <w:lang w:val="en-US"/>
        </w:rPr>
        <w:t xml:space="preserve">Windows </w:t>
      </w:r>
      <w:r>
        <w:rPr>
          <w:b w:val="false"/>
          <w:color w:val="000000"/>
          <w:lang w:val="ru-RU"/>
        </w:rPr>
        <w:t xml:space="preserve">8,10 с применением следующих программных обеспечений: </w:t>
      </w:r>
      <w:r/>
    </w:p>
    <w:p>
      <w:pPr>
        <w:ind w:left="0" w:right="0" w:firstLine="709"/>
        <w:jc w:val="both"/>
        <w:widowControl w:val="off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1) </w:t>
      </w:r>
      <w:r>
        <w:rPr>
          <w:b w:val="false"/>
          <w:color w:val="000000"/>
          <w:lang w:val="ru-RU"/>
        </w:rPr>
        <w:t xml:space="preserve">ИС ССТУ «Обращения граждан»;</w:t>
      </w:r>
      <w:r/>
    </w:p>
    <w:p>
      <w:pPr>
        <w:ind w:left="0" w:right="0" w:firstLine="709"/>
        <w:jc w:val="both"/>
        <w:widowControl w:val="off"/>
        <w:rPr>
          <w:b w:val="false"/>
          <w:color w:val="000000"/>
          <w:lang w:val="ru-RU"/>
        </w:rPr>
      </w:pPr>
      <w:r>
        <w:rPr>
          <w:b w:val="false"/>
          <w:color w:val="000000"/>
          <w:lang w:val="ru-RU"/>
        </w:rPr>
        <w:t xml:space="preserve">2) ф</w:t>
      </w:r>
      <w:r>
        <w:rPr>
          <w:rFonts w:eastAsia="Calibri"/>
          <w:b w:val="false"/>
          <w:bCs w:val="false"/>
          <w:lang w:eastAsia="en-US"/>
        </w:rPr>
        <w:t xml:space="preserve">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3) АС _Смета_Тонкий клиент.</w:t>
      </w:r>
      <w:r>
        <w:rPr>
          <w:rFonts w:eastAsia="Calibri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</w:rPr>
      </w:pPr>
      <w:r>
        <w:rPr>
          <w:rFonts w:eastAsia="Calibri"/>
          <w:b w:val="false"/>
          <w:bCs w:val="false"/>
          <w:lang w:eastAsia="en-US"/>
        </w:rPr>
        <w:t xml:space="preserve">18. При необходимости выводов персональных данных из ОВТ осуществляется следующим образом: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pStyle w:val="710"/>
        <w:numPr>
          <w:ilvl w:val="0"/>
          <w:numId w:val="39"/>
        </w:numPr>
        <w:ind w:left="0" w:right="0" w:firstLine="709"/>
        <w:jc w:val="both"/>
        <w:widowControl w:val="off"/>
        <w:rPr>
          <w:rFonts w:eastAsia="Calibri"/>
          <w:b w:val="false"/>
        </w:rPr>
      </w:pPr>
      <w:r>
        <w:rPr>
          <w:rFonts w:eastAsia="Calibri"/>
          <w:b w:val="false"/>
          <w:bCs w:val="false"/>
          <w:lang w:eastAsia="en-US"/>
        </w:rPr>
        <w:t xml:space="preserve">копированием персональных данных на учтенные носители;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pStyle w:val="710"/>
        <w:numPr>
          <w:ilvl w:val="0"/>
          <w:numId w:val="39"/>
        </w:numPr>
        <w:ind w:left="0" w:right="0" w:firstLine="709"/>
        <w:jc w:val="both"/>
        <w:widowControl w:val="off"/>
        <w:rPr>
          <w:rFonts w:eastAsia="Calibri"/>
          <w:b w:val="false"/>
        </w:rPr>
      </w:pPr>
      <w:r>
        <w:rPr>
          <w:rFonts w:eastAsia="Calibri"/>
          <w:b w:val="false"/>
          <w:bCs w:val="false"/>
          <w:lang w:eastAsia="en-US"/>
        </w:rPr>
        <w:t xml:space="preserve">печать на принтере;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pStyle w:val="710"/>
        <w:numPr>
          <w:ilvl w:val="0"/>
          <w:numId w:val="39"/>
        </w:numPr>
        <w:ind w:left="0" w:right="0" w:firstLine="709"/>
        <w:jc w:val="both"/>
        <w:widowControl w:val="off"/>
        <w:rPr>
          <w:rFonts w:eastAsia="Calibri"/>
          <w:b w:val="false"/>
        </w:rPr>
      </w:pPr>
      <w:r>
        <w:rPr>
          <w:rFonts w:eastAsia="Calibri"/>
          <w:b w:val="false"/>
          <w:bCs w:val="false"/>
          <w:lang w:eastAsia="en-US"/>
        </w:rPr>
        <w:t xml:space="preserve">передача персональных данных по каналам связи </w:t>
        <w:br/>
        <w:t xml:space="preserve">с обязательным применением криптографической защиты.</w:t>
      </w:r>
      <w:r>
        <w:rPr>
          <w:rFonts w:eastAsia="Calibri"/>
          <w:b w:val="false"/>
          <w:bCs w:val="false"/>
          <w:lang w:eastAsia="en-US"/>
        </w:rPr>
      </w:r>
      <w:r/>
    </w:p>
    <w:p>
      <w:pPr>
        <w:ind w:firstLine="709"/>
        <w:jc w:val="both"/>
        <w:rPr>
          <w:b w:val="false"/>
          <w:color w:val="000000"/>
        </w:rPr>
      </w:pPr>
      <w:r>
        <w:rPr>
          <w:b w:val="false"/>
          <w:color w:val="000000"/>
          <w:lang w:val="ru-RU"/>
        </w:rPr>
        <w:t xml:space="preserve"> </w:t>
      </w:r>
      <w:r>
        <w:rPr>
          <w:b w:val="false"/>
          <w:color w:val="000000"/>
          <w:lang w:val="ru-RU"/>
        </w:rPr>
      </w:r>
      <w:r/>
    </w:p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</w:rPr>
      </w:r>
      <w:r/>
    </w:p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</w:rPr>
      </w:r>
      <w:r/>
    </w:p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</w:rPr>
      </w:r>
      <w:r/>
    </w:p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</w:rPr>
      </w:r>
      <w:r/>
    </w:p>
    <w:p>
      <w:pPr>
        <w:jc w:val="both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>
        <w:rPr>
          <w:b w:val="false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1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22">
    <w:name w:val="endnote text"/>
    <w:basedOn w:val="692"/>
    <w:link w:val="523"/>
    <w:uiPriority w:val="99"/>
    <w:semiHidden/>
    <w:unhideWhenUsed/>
    <w:rPr>
      <w:sz w:val="20"/>
    </w:rPr>
    <w:pPr>
      <w:spacing w:lineRule="auto" w:line="240" w:after="0"/>
    </w:pPr>
  </w:style>
  <w:style w:type="character" w:styleId="523">
    <w:name w:val="Endnote Text Char"/>
    <w:link w:val="522"/>
    <w:uiPriority w:val="99"/>
    <w:rPr>
      <w:sz w:val="20"/>
    </w:rPr>
  </w:style>
  <w:style w:type="character" w:styleId="524">
    <w:name w:val="endnote reference"/>
    <w:basedOn w:val="695"/>
    <w:uiPriority w:val="99"/>
    <w:semiHidden/>
    <w:unhideWhenUsed/>
    <w:rPr>
      <w:vertAlign w:val="superscript"/>
    </w:rPr>
  </w:style>
  <w:style w:type="character" w:styleId="525">
    <w:name w:val="Heading 1 Char"/>
    <w:basedOn w:val="695"/>
    <w:link w:val="693"/>
    <w:uiPriority w:val="9"/>
    <w:rPr>
      <w:rFonts w:ascii="Arial" w:hAnsi="Arial" w:cs="Arial" w:eastAsia="Arial"/>
      <w:sz w:val="40"/>
      <w:szCs w:val="40"/>
    </w:rPr>
  </w:style>
  <w:style w:type="paragraph" w:styleId="526">
    <w:name w:val="Heading 2"/>
    <w:basedOn w:val="692"/>
    <w:next w:val="692"/>
    <w:link w:val="52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27">
    <w:name w:val="Heading 2 Char"/>
    <w:basedOn w:val="695"/>
    <w:link w:val="526"/>
    <w:uiPriority w:val="9"/>
    <w:rPr>
      <w:rFonts w:ascii="Arial" w:hAnsi="Arial" w:cs="Arial" w:eastAsia="Arial"/>
      <w:sz w:val="34"/>
    </w:rPr>
  </w:style>
  <w:style w:type="paragraph" w:styleId="528">
    <w:name w:val="Heading 3"/>
    <w:basedOn w:val="692"/>
    <w:next w:val="692"/>
    <w:link w:val="52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29">
    <w:name w:val="Heading 3 Char"/>
    <w:basedOn w:val="695"/>
    <w:link w:val="528"/>
    <w:uiPriority w:val="9"/>
    <w:rPr>
      <w:rFonts w:ascii="Arial" w:hAnsi="Arial" w:cs="Arial" w:eastAsia="Arial"/>
      <w:sz w:val="30"/>
      <w:szCs w:val="30"/>
    </w:rPr>
  </w:style>
  <w:style w:type="character" w:styleId="530">
    <w:name w:val="Heading 4 Char"/>
    <w:basedOn w:val="695"/>
    <w:link w:val="694"/>
    <w:uiPriority w:val="9"/>
    <w:rPr>
      <w:rFonts w:ascii="Arial" w:hAnsi="Arial" w:cs="Arial" w:eastAsia="Arial"/>
      <w:b/>
      <w:bCs/>
      <w:sz w:val="26"/>
      <w:szCs w:val="26"/>
    </w:rPr>
  </w:style>
  <w:style w:type="paragraph" w:styleId="531">
    <w:name w:val="Heading 5"/>
    <w:basedOn w:val="692"/>
    <w:next w:val="692"/>
    <w:link w:val="53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32">
    <w:name w:val="Heading 5 Char"/>
    <w:basedOn w:val="695"/>
    <w:link w:val="531"/>
    <w:uiPriority w:val="9"/>
    <w:rPr>
      <w:rFonts w:ascii="Arial" w:hAnsi="Arial" w:cs="Arial" w:eastAsia="Arial"/>
      <w:b/>
      <w:bCs/>
      <w:sz w:val="24"/>
      <w:szCs w:val="24"/>
    </w:rPr>
  </w:style>
  <w:style w:type="paragraph" w:styleId="533">
    <w:name w:val="Heading 6"/>
    <w:basedOn w:val="692"/>
    <w:next w:val="692"/>
    <w:link w:val="53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34">
    <w:name w:val="Heading 6 Char"/>
    <w:basedOn w:val="695"/>
    <w:link w:val="533"/>
    <w:uiPriority w:val="9"/>
    <w:rPr>
      <w:rFonts w:ascii="Arial" w:hAnsi="Arial" w:cs="Arial" w:eastAsia="Arial"/>
      <w:b/>
      <w:bCs/>
      <w:sz w:val="22"/>
      <w:szCs w:val="22"/>
    </w:rPr>
  </w:style>
  <w:style w:type="paragraph" w:styleId="535">
    <w:name w:val="Heading 7"/>
    <w:basedOn w:val="692"/>
    <w:next w:val="692"/>
    <w:link w:val="53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36">
    <w:name w:val="Heading 7 Char"/>
    <w:basedOn w:val="695"/>
    <w:link w:val="5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37">
    <w:name w:val="Heading 8"/>
    <w:basedOn w:val="692"/>
    <w:next w:val="692"/>
    <w:link w:val="53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38">
    <w:name w:val="Heading 8 Char"/>
    <w:basedOn w:val="695"/>
    <w:link w:val="537"/>
    <w:uiPriority w:val="9"/>
    <w:rPr>
      <w:rFonts w:ascii="Arial" w:hAnsi="Arial" w:cs="Arial" w:eastAsia="Arial"/>
      <w:i/>
      <w:iCs/>
      <w:sz w:val="22"/>
      <w:szCs w:val="22"/>
    </w:rPr>
  </w:style>
  <w:style w:type="paragraph" w:styleId="539">
    <w:name w:val="Heading 9"/>
    <w:basedOn w:val="692"/>
    <w:next w:val="692"/>
    <w:link w:val="54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40">
    <w:name w:val="Heading 9 Char"/>
    <w:basedOn w:val="695"/>
    <w:link w:val="539"/>
    <w:uiPriority w:val="9"/>
    <w:rPr>
      <w:rFonts w:ascii="Arial" w:hAnsi="Arial" w:cs="Arial" w:eastAsia="Arial"/>
      <w:i/>
      <w:iCs/>
      <w:sz w:val="21"/>
      <w:szCs w:val="21"/>
    </w:rPr>
  </w:style>
  <w:style w:type="paragraph" w:styleId="541">
    <w:name w:val="No Spacing"/>
    <w:qFormat/>
    <w:uiPriority w:val="1"/>
    <w:pPr>
      <w:spacing w:lineRule="auto" w:line="240" w:after="0" w:before="0"/>
    </w:pPr>
  </w:style>
  <w:style w:type="paragraph" w:styleId="542">
    <w:name w:val="Title"/>
    <w:basedOn w:val="692"/>
    <w:next w:val="692"/>
    <w:link w:val="54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43">
    <w:name w:val="Title Char"/>
    <w:basedOn w:val="695"/>
    <w:link w:val="542"/>
    <w:uiPriority w:val="10"/>
    <w:rPr>
      <w:sz w:val="48"/>
      <w:szCs w:val="48"/>
    </w:rPr>
  </w:style>
  <w:style w:type="paragraph" w:styleId="544">
    <w:name w:val="Subtitle"/>
    <w:basedOn w:val="692"/>
    <w:next w:val="692"/>
    <w:link w:val="545"/>
    <w:qFormat/>
    <w:uiPriority w:val="11"/>
    <w:rPr>
      <w:sz w:val="24"/>
      <w:szCs w:val="24"/>
    </w:rPr>
    <w:pPr>
      <w:spacing w:after="200" w:before="200"/>
    </w:pPr>
  </w:style>
  <w:style w:type="character" w:styleId="545">
    <w:name w:val="Subtitle Char"/>
    <w:basedOn w:val="695"/>
    <w:link w:val="544"/>
    <w:uiPriority w:val="11"/>
    <w:rPr>
      <w:sz w:val="24"/>
      <w:szCs w:val="24"/>
    </w:rPr>
  </w:style>
  <w:style w:type="paragraph" w:styleId="546">
    <w:name w:val="Quote"/>
    <w:basedOn w:val="692"/>
    <w:next w:val="692"/>
    <w:link w:val="547"/>
    <w:qFormat/>
    <w:uiPriority w:val="29"/>
    <w:rPr>
      <w:i/>
    </w:rPr>
    <w:pPr>
      <w:ind w:left="720" w:right="720"/>
    </w:pPr>
  </w:style>
  <w:style w:type="character" w:styleId="547">
    <w:name w:val="Quote Char"/>
    <w:link w:val="546"/>
    <w:uiPriority w:val="29"/>
    <w:rPr>
      <w:i/>
    </w:rPr>
  </w:style>
  <w:style w:type="paragraph" w:styleId="548">
    <w:name w:val="Intense Quote"/>
    <w:basedOn w:val="692"/>
    <w:next w:val="692"/>
    <w:link w:val="54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49">
    <w:name w:val="Intense Quote Char"/>
    <w:link w:val="548"/>
    <w:uiPriority w:val="30"/>
    <w:rPr>
      <w:i/>
    </w:rPr>
  </w:style>
  <w:style w:type="character" w:styleId="550">
    <w:name w:val="Header Char"/>
    <w:basedOn w:val="695"/>
    <w:link w:val="702"/>
    <w:uiPriority w:val="99"/>
  </w:style>
  <w:style w:type="character" w:styleId="551">
    <w:name w:val="Footer Char"/>
    <w:basedOn w:val="695"/>
    <w:link w:val="704"/>
    <w:uiPriority w:val="99"/>
  </w:style>
  <w:style w:type="paragraph" w:styleId="552">
    <w:name w:val="Caption"/>
    <w:basedOn w:val="692"/>
    <w:next w:val="69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53">
    <w:name w:val="Caption Char"/>
    <w:basedOn w:val="552"/>
    <w:link w:val="704"/>
    <w:uiPriority w:val="99"/>
  </w:style>
  <w:style w:type="table" w:styleId="554">
    <w:name w:val="Table Grid Light"/>
    <w:basedOn w:val="69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5">
    <w:name w:val="Plain Table 1"/>
    <w:basedOn w:val="69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6">
    <w:name w:val="Plain Table 2"/>
    <w:basedOn w:val="69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57">
    <w:name w:val="Plain Table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8">
    <w:name w:val="Plain Table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Plain Table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60">
    <w:name w:val="Grid Table 1 Light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Grid Table 1 Light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Grid Table 1 Light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Grid Table 1 Light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Grid Table 1 Light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Grid Table 1 Light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Grid Table 1 Light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Grid Table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2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2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2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2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2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2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3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3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3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3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3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3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Grid Table 4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2">
    <w:name w:val="Grid Table 4 - Accent 1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83">
    <w:name w:val="Grid Table 4 - Accent 2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84">
    <w:name w:val="Grid Table 4 - Accent 3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85">
    <w:name w:val="Grid Table 4 - Accent 4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86">
    <w:name w:val="Grid Table 4 - Accent 5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87">
    <w:name w:val="Grid Table 4 - Accent 6"/>
    <w:basedOn w:val="69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8">
    <w:name w:val="Grid Table 5 Dark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89">
    <w:name w:val="Grid Table 5 Dark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90">
    <w:name w:val="Grid Table 5 Dark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91">
    <w:name w:val="Grid Table 5 Dark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92">
    <w:name w:val="Grid Table 5 Dark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93">
    <w:name w:val="Grid Table 5 Dark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94">
    <w:name w:val="Grid Table 5 Dark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95">
    <w:name w:val="Grid Table 6 Colorful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96">
    <w:name w:val="Grid Table 6 Colorful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97">
    <w:name w:val="Grid Table 6 Colorful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98">
    <w:name w:val="Grid Table 6 Colorful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99">
    <w:name w:val="Grid Table 6 Colorful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00">
    <w:name w:val="Grid Table 6 Colorful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1">
    <w:name w:val="Grid Table 6 Colorful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02">
    <w:name w:val="Grid Table 7 Colorful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7 Colorful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7 Colorful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7 Colorful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7 Colorful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7 Colorful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7 Colorful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1 Light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List Table 1 Light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List Table 1 Light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List Table 1 Light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List Table 1 Light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List Table 1 Light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List Table 1 Light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List Table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17">
    <w:name w:val="List Table 2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18">
    <w:name w:val="List Table 2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19">
    <w:name w:val="List Table 2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20">
    <w:name w:val="List Table 2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21">
    <w:name w:val="List Table 2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22">
    <w:name w:val="List Table 2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23">
    <w:name w:val="List Table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3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3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3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3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3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3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List Table 4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>
    <w:name w:val="List Table 4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>
    <w:name w:val="List Table 4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>
    <w:name w:val="List Table 4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List Table 4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>
    <w:name w:val="List Table 4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List Table 5 Dark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8">
    <w:name w:val="List Table 5 Dark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39">
    <w:name w:val="List Table 5 Dark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0">
    <w:name w:val="List Table 5 Dark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1">
    <w:name w:val="List Table 5 Dark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2">
    <w:name w:val="List Table 5 Dark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3">
    <w:name w:val="List Table 5 Dark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44">
    <w:name w:val="List Table 6 Colorful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45">
    <w:name w:val="List Table 6 Colorful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46">
    <w:name w:val="List Table 6 Colorful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47">
    <w:name w:val="List Table 6 Colorful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48">
    <w:name w:val="List Table 6 Colorful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49">
    <w:name w:val="List Table 6 Colorful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50">
    <w:name w:val="List Table 6 Colorful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51">
    <w:name w:val="List Table 7 Colorful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52">
    <w:name w:val="List Table 7 Colorful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53">
    <w:name w:val="List Table 7 Colorful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54">
    <w:name w:val="List Table 7 Colorful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55">
    <w:name w:val="List Table 7 Colorful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56">
    <w:name w:val="List Table 7 Colorful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57">
    <w:name w:val="List Table 7 Colorful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58">
    <w:name w:val="Lined - Accent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9">
    <w:name w:val="Lined - Accent 1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60">
    <w:name w:val="Lined - Accent 2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61">
    <w:name w:val="Lined - Accent 3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62">
    <w:name w:val="Lined - Accent 4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63">
    <w:name w:val="Lined - Accent 5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64">
    <w:name w:val="Lined - Accent 6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65">
    <w:name w:val="Bordered &amp; Lined - Accent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66">
    <w:name w:val="Bordered &amp; Lined - Accent 1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67">
    <w:name w:val="Bordered &amp; Lined - Accent 2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68">
    <w:name w:val="Bordered &amp; Lined - Accent 3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69">
    <w:name w:val="Bordered &amp; Lined - Accent 4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70">
    <w:name w:val="Bordered &amp; Lined - Accent 5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71">
    <w:name w:val="Bordered &amp; Lined - Accent 6"/>
    <w:basedOn w:val="69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72">
    <w:name w:val="Bordered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73">
    <w:name w:val="Bordered - Accent 1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74">
    <w:name w:val="Bordered - Accent 2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75">
    <w:name w:val="Bordered - Accent 3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76">
    <w:name w:val="Bordered - Accent 4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77">
    <w:name w:val="Bordered - Accent 5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78">
    <w:name w:val="Bordered - Accent 6"/>
    <w:basedOn w:val="69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79">
    <w:name w:val="footnote text"/>
    <w:basedOn w:val="692"/>
    <w:link w:val="680"/>
    <w:uiPriority w:val="99"/>
    <w:semiHidden/>
    <w:unhideWhenUsed/>
    <w:rPr>
      <w:sz w:val="18"/>
    </w:rPr>
    <w:pPr>
      <w:spacing w:lineRule="auto" w:line="240" w:after="40"/>
    </w:pPr>
  </w:style>
  <w:style w:type="character" w:styleId="680">
    <w:name w:val="Footnote Text Char"/>
    <w:link w:val="679"/>
    <w:uiPriority w:val="99"/>
    <w:rPr>
      <w:sz w:val="18"/>
    </w:rPr>
  </w:style>
  <w:style w:type="character" w:styleId="681">
    <w:name w:val="footnote reference"/>
    <w:basedOn w:val="695"/>
    <w:uiPriority w:val="99"/>
    <w:unhideWhenUsed/>
    <w:rPr>
      <w:vertAlign w:val="superscript"/>
    </w:rPr>
  </w:style>
  <w:style w:type="paragraph" w:styleId="682">
    <w:name w:val="toc 1"/>
    <w:basedOn w:val="692"/>
    <w:next w:val="692"/>
    <w:uiPriority w:val="39"/>
    <w:unhideWhenUsed/>
    <w:pPr>
      <w:ind w:left="0" w:right="0" w:firstLine="0"/>
      <w:spacing w:after="57"/>
    </w:pPr>
  </w:style>
  <w:style w:type="paragraph" w:styleId="683">
    <w:name w:val="toc 2"/>
    <w:basedOn w:val="692"/>
    <w:next w:val="692"/>
    <w:uiPriority w:val="39"/>
    <w:unhideWhenUsed/>
    <w:pPr>
      <w:ind w:left="283" w:right="0" w:firstLine="0"/>
      <w:spacing w:after="57"/>
    </w:pPr>
  </w:style>
  <w:style w:type="paragraph" w:styleId="684">
    <w:name w:val="toc 3"/>
    <w:basedOn w:val="692"/>
    <w:next w:val="692"/>
    <w:uiPriority w:val="39"/>
    <w:unhideWhenUsed/>
    <w:pPr>
      <w:ind w:left="567" w:right="0" w:firstLine="0"/>
      <w:spacing w:after="57"/>
    </w:pPr>
  </w:style>
  <w:style w:type="paragraph" w:styleId="685">
    <w:name w:val="toc 4"/>
    <w:basedOn w:val="692"/>
    <w:next w:val="692"/>
    <w:uiPriority w:val="39"/>
    <w:unhideWhenUsed/>
    <w:pPr>
      <w:ind w:left="850" w:right="0" w:firstLine="0"/>
      <w:spacing w:after="57"/>
    </w:pPr>
  </w:style>
  <w:style w:type="paragraph" w:styleId="686">
    <w:name w:val="toc 5"/>
    <w:basedOn w:val="692"/>
    <w:next w:val="692"/>
    <w:uiPriority w:val="39"/>
    <w:unhideWhenUsed/>
    <w:pPr>
      <w:ind w:left="1134" w:right="0" w:firstLine="0"/>
      <w:spacing w:after="57"/>
    </w:pPr>
  </w:style>
  <w:style w:type="paragraph" w:styleId="687">
    <w:name w:val="toc 6"/>
    <w:basedOn w:val="692"/>
    <w:next w:val="692"/>
    <w:uiPriority w:val="39"/>
    <w:unhideWhenUsed/>
    <w:pPr>
      <w:ind w:left="1417" w:right="0" w:firstLine="0"/>
      <w:spacing w:after="57"/>
    </w:pPr>
  </w:style>
  <w:style w:type="paragraph" w:styleId="688">
    <w:name w:val="toc 7"/>
    <w:basedOn w:val="692"/>
    <w:next w:val="692"/>
    <w:uiPriority w:val="39"/>
    <w:unhideWhenUsed/>
    <w:pPr>
      <w:ind w:left="1701" w:right="0" w:firstLine="0"/>
      <w:spacing w:after="57"/>
    </w:pPr>
  </w:style>
  <w:style w:type="paragraph" w:styleId="689">
    <w:name w:val="toc 8"/>
    <w:basedOn w:val="692"/>
    <w:next w:val="692"/>
    <w:uiPriority w:val="39"/>
    <w:unhideWhenUsed/>
    <w:pPr>
      <w:ind w:left="1984" w:right="0" w:firstLine="0"/>
      <w:spacing w:after="57"/>
    </w:pPr>
  </w:style>
  <w:style w:type="paragraph" w:styleId="690">
    <w:name w:val="toc 9"/>
    <w:basedOn w:val="692"/>
    <w:next w:val="692"/>
    <w:uiPriority w:val="39"/>
    <w:unhideWhenUsed/>
    <w:pPr>
      <w:ind w:left="2268" w:right="0" w:firstLine="0"/>
      <w:spacing w:after="57"/>
    </w:pPr>
  </w:style>
  <w:style w:type="paragraph" w:styleId="691">
    <w:name w:val="TOC Heading"/>
    <w:uiPriority w:val="39"/>
    <w:unhideWhenUsed/>
  </w:style>
  <w:style w:type="paragraph" w:styleId="692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93">
    <w:name w:val="Heading 1"/>
    <w:basedOn w:val="692"/>
    <w:next w:val="692"/>
    <w:link w:val="698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94">
    <w:name w:val="Heading 4"/>
    <w:basedOn w:val="692"/>
    <w:next w:val="692"/>
    <w:link w:val="706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basedOn w:val="695"/>
    <w:link w:val="693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99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700" w:customStyle="1">
    <w:name w:val="Знак"/>
    <w:basedOn w:val="692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701">
    <w:name w:val="Emphasis"/>
    <w:qFormat/>
    <w:rPr>
      <w:i/>
      <w:iCs/>
    </w:rPr>
  </w:style>
  <w:style w:type="paragraph" w:styleId="702">
    <w:name w:val="Header"/>
    <w:basedOn w:val="692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5"/>
    <w:link w:val="702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704">
    <w:name w:val="Footer"/>
    <w:basedOn w:val="692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95"/>
    <w:link w:val="704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706" w:customStyle="1">
    <w:name w:val="Заголовок 4 Знак"/>
    <w:basedOn w:val="695"/>
    <w:link w:val="694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707">
    <w:name w:val="Hyperlink"/>
    <w:basedOn w:val="695"/>
    <w:uiPriority w:val="99"/>
    <w:unhideWhenUsed/>
    <w:rPr>
      <w:color w:val="0000FF" w:themeColor="hyperlink"/>
      <w:u w:val="single"/>
    </w:rPr>
  </w:style>
  <w:style w:type="paragraph" w:styleId="708">
    <w:name w:val="Balloon Text"/>
    <w:basedOn w:val="692"/>
    <w:link w:val="709"/>
    <w:uiPriority w:val="99"/>
    <w:semiHidden/>
    <w:unhideWhenUsed/>
    <w:rPr>
      <w:rFonts w:ascii="Tahoma" w:hAnsi="Tahoma" w:cs="Tahoma"/>
      <w:sz w:val="16"/>
      <w:szCs w:val="16"/>
    </w:rPr>
  </w:style>
  <w:style w:type="character" w:styleId="709" w:customStyle="1">
    <w:name w:val="Текст выноски Знак"/>
    <w:basedOn w:val="695"/>
    <w:link w:val="708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710">
    <w:name w:val="List Paragraph"/>
    <w:basedOn w:val="692"/>
    <w:qFormat/>
    <w:uiPriority w:val="34"/>
    <w:pPr>
      <w:contextualSpacing w:val="true"/>
      <w:ind w:left="720"/>
    </w:pPr>
  </w:style>
  <w:style w:type="table" w:styleId="711">
    <w:name w:val="Table Grid"/>
    <w:basedOn w:val="696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Сетка таблицы1"/>
    <w:basedOn w:val="696"/>
    <w:next w:val="711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Сетка таблицы2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Сетка таблицы3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Сетка таблицы4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Сетка таблицы5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Сетка таблицы6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List Bullet"/>
    <w:basedOn w:val="692"/>
    <w:uiPriority w:val="99"/>
    <w:unhideWhenUsed/>
    <w:pPr>
      <w:numPr>
        <w:numId w:val="31"/>
      </w:numPr>
      <w:contextualSpacing w:val="true"/>
    </w:pPr>
  </w:style>
  <w:style w:type="table" w:styleId="719" w:customStyle="1">
    <w:name w:val="Сетка таблицы7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Сетка таблицы8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Сетка таблицы9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Сетка таблицы10"/>
    <w:basedOn w:val="696"/>
    <w:next w:val="711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148</cp:revision>
  <dcterms:created xsi:type="dcterms:W3CDTF">2012-09-07T07:17:00Z</dcterms:created>
  <dcterms:modified xsi:type="dcterms:W3CDTF">2022-01-24T06:51:01Z</dcterms:modified>
</cp:coreProperties>
</file>